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9A5D57" w:rsidRPr="009A5D57" w:rsidTr="009A5D57">
        <w:trPr>
          <w:tblCellSpacing w:w="0" w:type="dxa"/>
          <w:jc w:val="center"/>
        </w:trPr>
        <w:tc>
          <w:tcPr>
            <w:tcW w:w="0" w:type="auto"/>
            <w:vAlign w:val="center"/>
            <w:hideMark/>
          </w:tcPr>
          <w:p w:rsidR="009A5D57" w:rsidRPr="009A5D57" w:rsidRDefault="009A5D57" w:rsidP="009A5D57">
            <w:pPr>
              <w:spacing w:before="100" w:beforeAutospacing="1" w:after="100" w:afterAutospacing="1" w:line="240" w:lineRule="auto"/>
              <w:jc w:val="center"/>
              <w:rPr>
                <w:rFonts w:ascii="Times New Roman" w:eastAsia="Times New Roman" w:hAnsi="Times New Roman" w:cs="Times New Roman"/>
                <w:sz w:val="28"/>
                <w:szCs w:val="24"/>
                <w:lang w:eastAsia="en-IN"/>
              </w:rPr>
            </w:pPr>
            <w:r w:rsidRPr="008F65BB">
              <w:rPr>
                <w:rFonts w:ascii="Times New Roman" w:eastAsia="Times New Roman" w:hAnsi="Times New Roman" w:cs="Times New Roman"/>
                <w:b/>
                <w:bCs/>
                <w:sz w:val="28"/>
                <w:szCs w:val="24"/>
                <w:u w:val="single"/>
                <w:lang w:eastAsia="en-IN"/>
              </w:rPr>
              <w:t>Additional Regulato</w:t>
            </w:r>
            <w:bookmarkStart w:id="0" w:name="_GoBack"/>
            <w:bookmarkEnd w:id="0"/>
            <w:r w:rsidRPr="008F65BB">
              <w:rPr>
                <w:rFonts w:ascii="Times New Roman" w:eastAsia="Times New Roman" w:hAnsi="Times New Roman" w:cs="Times New Roman"/>
                <w:b/>
                <w:bCs/>
                <w:sz w:val="28"/>
                <w:szCs w:val="24"/>
                <w:u w:val="single"/>
                <w:lang w:eastAsia="en-IN"/>
              </w:rPr>
              <w:t>ry Information</w:t>
            </w:r>
          </w:p>
          <w:p w:rsidR="009A5D57" w:rsidRPr="009A5D57" w:rsidRDefault="009A5D57" w:rsidP="009A5D57">
            <w:pPr>
              <w:spacing w:before="100" w:beforeAutospacing="1" w:after="100" w:afterAutospacing="1" w:line="240" w:lineRule="auto"/>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(i) Title deeds of immovable property not held in the name of the company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
              <w:gridCol w:w="1643"/>
              <w:gridCol w:w="1217"/>
              <w:gridCol w:w="977"/>
              <w:gridCol w:w="1119"/>
              <w:gridCol w:w="2378"/>
              <w:gridCol w:w="1225"/>
              <w:gridCol w:w="1644"/>
            </w:tblGrid>
            <w:tr w:rsidR="009A5D57" w:rsidRPr="009A5D57">
              <w:trPr>
                <w:tblCellSpacing w:w="0" w:type="dxa"/>
              </w:trPr>
              <w:tc>
                <w:tcPr>
                  <w:tcW w:w="150" w:type="pc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 </w:t>
                  </w:r>
                </w:p>
              </w:tc>
              <w:tc>
                <w:tcPr>
                  <w:tcW w:w="800" w:type="pc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Relevant Line Item in the Balance Sheet</w:t>
                  </w:r>
                </w:p>
              </w:tc>
              <w:tc>
                <w:tcPr>
                  <w:tcW w:w="550" w:type="pc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 xml:space="preserve">Description of item of property </w:t>
                  </w:r>
                </w:p>
              </w:tc>
              <w:tc>
                <w:tcPr>
                  <w:tcW w:w="400" w:type="pc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 xml:space="preserve">Gross Carrying Value </w:t>
                  </w:r>
                </w:p>
              </w:tc>
              <w:tc>
                <w:tcPr>
                  <w:tcW w:w="550" w:type="pc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 xml:space="preserve">Title deeds held in the name of </w:t>
                  </w:r>
                </w:p>
              </w:tc>
              <w:tc>
                <w:tcPr>
                  <w:tcW w:w="1150" w:type="pc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Whether title deed holder is a promoter, director or relative# of promoter */ director or employee of promoter / director</w:t>
                  </w:r>
                </w:p>
              </w:tc>
              <w:tc>
                <w:tcPr>
                  <w:tcW w:w="600" w:type="pc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Property held since which date</w:t>
                  </w:r>
                </w:p>
              </w:tc>
              <w:tc>
                <w:tcPr>
                  <w:tcW w:w="800" w:type="pc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Reason for not being held in the name of the company</w:t>
                  </w:r>
                </w:p>
              </w:tc>
            </w:tr>
            <w:tr w:rsidR="009A5D57" w:rsidRPr="009A5D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PPE</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Land</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Building</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Investment Property</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Land</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Building</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PPE retired from active use and held for disposal</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Land</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Building</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Others</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bl>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xml:space="preserve">(ii) Where the Company has </w:t>
            </w:r>
            <w:proofErr w:type="spellStart"/>
            <w:r w:rsidRPr="009A5D57">
              <w:rPr>
                <w:rFonts w:ascii="Times New Roman" w:eastAsia="Times New Roman" w:hAnsi="Times New Roman" w:cs="Times New Roman"/>
                <w:sz w:val="24"/>
                <w:szCs w:val="24"/>
                <w:lang w:eastAsia="en-IN"/>
              </w:rPr>
              <w:t>revalued</w:t>
            </w:r>
            <w:proofErr w:type="spellEnd"/>
            <w:r w:rsidRPr="009A5D57">
              <w:rPr>
                <w:rFonts w:ascii="Times New Roman" w:eastAsia="Times New Roman" w:hAnsi="Times New Roman" w:cs="Times New Roman"/>
                <w:sz w:val="24"/>
                <w:szCs w:val="24"/>
                <w:lang w:eastAsia="en-IN"/>
              </w:rPr>
              <w:t xml:space="preserve"> its Property, Plant and Equipment, the company shall disclose as to whether the revaluation is based on the valuation by a registered </w:t>
            </w:r>
            <w:proofErr w:type="spellStart"/>
            <w:r w:rsidRPr="009A5D57">
              <w:rPr>
                <w:rFonts w:ascii="Times New Roman" w:eastAsia="Times New Roman" w:hAnsi="Times New Roman" w:cs="Times New Roman"/>
                <w:sz w:val="24"/>
                <w:szCs w:val="24"/>
                <w:lang w:eastAsia="en-IN"/>
              </w:rPr>
              <w:t>valuer</w:t>
            </w:r>
            <w:proofErr w:type="spellEnd"/>
            <w:r w:rsidRPr="009A5D57">
              <w:rPr>
                <w:rFonts w:ascii="Times New Roman" w:eastAsia="Times New Roman" w:hAnsi="Times New Roman" w:cs="Times New Roman"/>
                <w:sz w:val="24"/>
                <w:szCs w:val="24"/>
                <w:lang w:eastAsia="en-IN"/>
              </w:rPr>
              <w:t xml:space="preserve"> as defined under rule 2 of the Companies (Registered </w:t>
            </w:r>
            <w:proofErr w:type="spellStart"/>
            <w:r w:rsidRPr="009A5D57">
              <w:rPr>
                <w:rFonts w:ascii="Times New Roman" w:eastAsia="Times New Roman" w:hAnsi="Times New Roman" w:cs="Times New Roman"/>
                <w:sz w:val="24"/>
                <w:szCs w:val="24"/>
                <w:lang w:eastAsia="en-IN"/>
              </w:rPr>
              <w:t>Valuers</w:t>
            </w:r>
            <w:proofErr w:type="spellEnd"/>
            <w:r w:rsidRPr="009A5D57">
              <w:rPr>
                <w:rFonts w:ascii="Times New Roman" w:eastAsia="Times New Roman" w:hAnsi="Times New Roman" w:cs="Times New Roman"/>
                <w:sz w:val="24"/>
                <w:szCs w:val="24"/>
                <w:lang w:eastAsia="en-IN"/>
              </w:rPr>
              <w:t xml:space="preserve"> and Valuation) Rules, 2017</w:t>
            </w:r>
          </w:p>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(iii) Following disclosures shall be made where Loans or Advances in the nature of loans are granted to promoters, directors, KMPs and the related parties (as defined under Companies Act, 2013,) either severally or jointly with any other person, that are:</w:t>
            </w:r>
          </w:p>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(a) repayable on demand or</w:t>
            </w:r>
          </w:p>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(b) without specifying any terms or period of repayment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2354"/>
              <w:gridCol w:w="4635"/>
            </w:tblGrid>
            <w:tr w:rsidR="009A5D57" w:rsidRPr="009A5D57">
              <w:trPr>
                <w:trHeight w:val="690"/>
                <w:tblCellSpacing w:w="0" w:type="dxa"/>
              </w:trPr>
              <w:tc>
                <w:tcPr>
                  <w:tcW w:w="3495"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Type of Borrower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Amount of loan or advance in the nature of loan outstanding</w:t>
                  </w:r>
                </w:p>
              </w:tc>
              <w:tc>
                <w:tcPr>
                  <w:tcW w:w="4635"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Percentage to the total Loans and Advances in the nature of loans</w:t>
                  </w:r>
                </w:p>
              </w:tc>
            </w:tr>
            <w:tr w:rsidR="009A5D57" w:rsidRPr="009A5D57">
              <w:trPr>
                <w:trHeight w:val="28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Promoters</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rHeight w:val="28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Directors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rHeight w:val="28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KMP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rHeight w:val="28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Related Party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bl>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lastRenderedPageBreak/>
              <w:t>(iv) Capital-Work-in Progress (CWIP)</w:t>
            </w:r>
          </w:p>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(a) For Capital-work-in progress, following ageing schedule shall be given:</w:t>
            </w:r>
          </w:p>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CWIP aging schedule</w:t>
            </w:r>
          </w:p>
          <w:p w:rsidR="009A5D57" w:rsidRPr="009A5D57" w:rsidRDefault="009A5D57" w:rsidP="009A5D57">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(Amount in Rs.)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8"/>
              <w:gridCol w:w="1467"/>
              <w:gridCol w:w="1055"/>
              <w:gridCol w:w="1161"/>
              <w:gridCol w:w="1666"/>
              <w:gridCol w:w="1437"/>
            </w:tblGrid>
            <w:tr w:rsidR="009A5D57" w:rsidRPr="009A5D57">
              <w:trPr>
                <w:tblCellSpacing w:w="0" w:type="dxa"/>
              </w:trPr>
              <w:tc>
                <w:tcPr>
                  <w:tcW w:w="3630" w:type="dxa"/>
                  <w:vMerge w:val="restar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CWIP</w:t>
                  </w:r>
                </w:p>
              </w:tc>
              <w:tc>
                <w:tcPr>
                  <w:tcW w:w="0" w:type="auto"/>
                  <w:gridSpan w:val="4"/>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Amount in CWIP for a period of</w:t>
                  </w:r>
                </w:p>
              </w:tc>
              <w:tc>
                <w:tcPr>
                  <w:tcW w:w="1410"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Total*</w:t>
                  </w:r>
                </w:p>
              </w:tc>
            </w:tr>
            <w:tr w:rsidR="009A5D57" w:rsidRPr="009A5D57">
              <w:trPr>
                <w:trHeight w:val="61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p>
              </w:tc>
              <w:tc>
                <w:tcPr>
                  <w:tcW w:w="1440"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Less than 1 year </w:t>
                  </w:r>
                </w:p>
              </w:tc>
              <w:tc>
                <w:tcPr>
                  <w:tcW w:w="1035"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1-2 years</w:t>
                  </w:r>
                </w:p>
              </w:tc>
              <w:tc>
                <w:tcPr>
                  <w:tcW w:w="1140"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2-3 years</w:t>
                  </w:r>
                </w:p>
              </w:tc>
              <w:tc>
                <w:tcPr>
                  <w:tcW w:w="1635"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More than 3 years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rHeight w:val="34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Projects in progress</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rHeight w:val="36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Projects temporarily suspended</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bl>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*Total shall tally with CWIP amount in the balance sheet.</w:t>
            </w:r>
          </w:p>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xml:space="preserve">(b) For capital-work-in progress, whose completion is overdue or has exceeded its cost compared to its original plan, following </w:t>
            </w:r>
            <w:r w:rsidRPr="009A5D57">
              <w:rPr>
                <w:rFonts w:ascii="Times New Roman" w:eastAsia="Times New Roman" w:hAnsi="Times New Roman" w:cs="Times New Roman"/>
                <w:b/>
                <w:bCs/>
                <w:sz w:val="24"/>
                <w:szCs w:val="24"/>
                <w:lang w:eastAsia="en-IN"/>
              </w:rPr>
              <w:t>CWIP completion schedule</w:t>
            </w:r>
            <w:r w:rsidRPr="009A5D57">
              <w:rPr>
                <w:rFonts w:ascii="Times New Roman" w:eastAsia="Times New Roman" w:hAnsi="Times New Roman" w:cs="Times New Roman"/>
                <w:sz w:val="24"/>
                <w:szCs w:val="24"/>
                <w:lang w:eastAsia="en-IN"/>
              </w:rPr>
              <w:t xml:space="preserve"> shall be given**:</w:t>
            </w:r>
          </w:p>
          <w:p w:rsidR="009A5D57" w:rsidRPr="009A5D57" w:rsidRDefault="009A5D57" w:rsidP="009A5D57">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(Amount in Rs.)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4"/>
              <w:gridCol w:w="1890"/>
              <w:gridCol w:w="1097"/>
              <w:gridCol w:w="960"/>
              <w:gridCol w:w="2133"/>
            </w:tblGrid>
            <w:tr w:rsidR="009A5D57" w:rsidRPr="009A5D57">
              <w:trPr>
                <w:tblCellSpacing w:w="0" w:type="dxa"/>
              </w:trPr>
              <w:tc>
                <w:tcPr>
                  <w:tcW w:w="4335" w:type="dxa"/>
                  <w:vMerge w:val="restar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CWIP</w:t>
                  </w:r>
                </w:p>
              </w:tc>
              <w:tc>
                <w:tcPr>
                  <w:tcW w:w="0" w:type="auto"/>
                  <w:gridSpan w:val="4"/>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To be completed in</w:t>
                  </w:r>
                </w:p>
              </w:tc>
            </w:tr>
            <w:tr w:rsidR="009A5D57" w:rsidRPr="009A5D57">
              <w:trPr>
                <w:trHeight w:val="28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p>
              </w:tc>
              <w:tc>
                <w:tcPr>
                  <w:tcW w:w="1860"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Less than 1 year </w:t>
                  </w:r>
                </w:p>
              </w:tc>
              <w:tc>
                <w:tcPr>
                  <w:tcW w:w="1080"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1-2 years</w:t>
                  </w:r>
                </w:p>
              </w:tc>
              <w:tc>
                <w:tcPr>
                  <w:tcW w:w="945"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2-3 years</w:t>
                  </w:r>
                </w:p>
              </w:tc>
              <w:tc>
                <w:tcPr>
                  <w:tcW w:w="2100"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More than 3 years </w:t>
                  </w:r>
                </w:p>
              </w:tc>
            </w:tr>
            <w:tr w:rsidR="009A5D57" w:rsidRPr="009A5D57">
              <w:trPr>
                <w:trHeight w:val="28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Project 1</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rHeight w:val="28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Project 2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bl>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**Details of projects where activity has been suspended shall be given separately.</w:t>
            </w:r>
          </w:p>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(v) Intangible assets under development:</w:t>
            </w:r>
          </w:p>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(a) For Intangible assets under development, following ageing schedule shall be given:</w:t>
            </w:r>
          </w:p>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Intangible assets under development aging schedule</w:t>
            </w:r>
          </w:p>
          <w:p w:rsidR="009A5D57" w:rsidRPr="009A5D57" w:rsidRDefault="009A5D57" w:rsidP="009A5D57">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(Amount in Rs.)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8"/>
              <w:gridCol w:w="1865"/>
              <w:gridCol w:w="993"/>
              <w:gridCol w:w="1116"/>
              <w:gridCol w:w="1589"/>
              <w:gridCol w:w="1253"/>
            </w:tblGrid>
            <w:tr w:rsidR="009A5D57" w:rsidRPr="009A5D57">
              <w:trPr>
                <w:tblCellSpacing w:w="0" w:type="dxa"/>
              </w:trPr>
              <w:tc>
                <w:tcPr>
                  <w:tcW w:w="3600" w:type="dxa"/>
                  <w:vMerge w:val="restar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Intangible Assets under development</w:t>
                  </w:r>
                </w:p>
              </w:tc>
              <w:tc>
                <w:tcPr>
                  <w:tcW w:w="0" w:type="auto"/>
                  <w:gridSpan w:val="4"/>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Amount in CWIP for a period of</w:t>
                  </w:r>
                </w:p>
              </w:tc>
              <w:tc>
                <w:tcPr>
                  <w:tcW w:w="1230" w:type="dxa"/>
                  <w:vMerge w:val="restar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Total*</w:t>
                  </w:r>
                </w:p>
              </w:tc>
            </w:tr>
            <w:tr w:rsidR="009A5D57" w:rsidRPr="009A5D57">
              <w:trPr>
                <w:trHeight w:val="28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p>
              </w:tc>
              <w:tc>
                <w:tcPr>
                  <w:tcW w:w="1830"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Less than 1 year </w:t>
                  </w:r>
                </w:p>
              </w:tc>
              <w:tc>
                <w:tcPr>
                  <w:tcW w:w="975"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1-2 years</w:t>
                  </w:r>
                </w:p>
              </w:tc>
              <w:tc>
                <w:tcPr>
                  <w:tcW w:w="1095"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2-3 years</w:t>
                  </w:r>
                </w:p>
              </w:tc>
              <w:tc>
                <w:tcPr>
                  <w:tcW w:w="1560" w:type="dxa"/>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More than 3 years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p>
              </w:tc>
            </w:tr>
            <w:tr w:rsidR="009A5D57" w:rsidRPr="009A5D57">
              <w:trPr>
                <w:trHeight w:val="28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Projects in progress</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rHeight w:val="28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Projects temporarily suspended</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bl>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Total shall tally with the amount of Intangible assets under development in the balance sheet.</w:t>
            </w:r>
          </w:p>
          <w:p w:rsidR="009A5D57" w:rsidRPr="009A5D57" w:rsidRDefault="009A5D57" w:rsidP="009A5D57">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lastRenderedPageBreak/>
              <w:t xml:space="preserve">(b) For Intangible assets under development, whose completion is overdue or has exceeded its </w:t>
            </w:r>
            <w:proofErr w:type="spellStart"/>
            <w:r w:rsidRPr="009A5D57">
              <w:rPr>
                <w:rFonts w:ascii="Times New Roman" w:eastAsia="Times New Roman" w:hAnsi="Times New Roman" w:cs="Times New Roman"/>
                <w:sz w:val="24"/>
                <w:szCs w:val="24"/>
                <w:lang w:eastAsia="en-IN"/>
              </w:rPr>
              <w:t>cos</w:t>
            </w:r>
            <w:proofErr w:type="spellEnd"/>
            <w:r w:rsidRPr="009A5D57">
              <w:rPr>
                <w:rFonts w:ascii="Times New Roman" w:eastAsia="Times New Roman" w:hAnsi="Times New Roman" w:cs="Times New Roman"/>
                <w:sz w:val="24"/>
                <w:szCs w:val="24"/>
                <w:lang w:eastAsia="en-IN"/>
              </w:rPr>
              <w:t xml:space="preserve"> following Intangible assets under development completion schedule shall be given**:</w:t>
            </w:r>
          </w:p>
          <w:p w:rsidR="009A5D57" w:rsidRPr="009A5D57" w:rsidRDefault="009A5D57" w:rsidP="009A5D57">
            <w:pPr>
              <w:spacing w:before="100" w:beforeAutospacing="1" w:after="100" w:afterAutospacing="1" w:line="240" w:lineRule="auto"/>
              <w:jc w:val="right"/>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(Amount in Rs.)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7"/>
              <w:gridCol w:w="1363"/>
              <w:gridCol w:w="1258"/>
              <w:gridCol w:w="839"/>
              <w:gridCol w:w="1887"/>
            </w:tblGrid>
            <w:tr w:rsidR="009A5D57" w:rsidRPr="009A5D57">
              <w:trPr>
                <w:tblCellSpacing w:w="0" w:type="dxa"/>
              </w:trPr>
              <w:tc>
                <w:tcPr>
                  <w:tcW w:w="2450" w:type="pct"/>
                  <w:vMerge w:val="restar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Intangible Assets under development</w:t>
                  </w:r>
                </w:p>
              </w:tc>
              <w:tc>
                <w:tcPr>
                  <w:tcW w:w="0" w:type="auto"/>
                  <w:gridSpan w:val="4"/>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To be completed in</w:t>
                  </w:r>
                </w:p>
              </w:tc>
            </w:tr>
            <w:tr w:rsidR="009A5D57" w:rsidRPr="009A5D57">
              <w:trPr>
                <w:trHeight w:val="28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p>
              </w:tc>
              <w:tc>
                <w:tcPr>
                  <w:tcW w:w="650" w:type="pc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Less than 1 year</w:t>
                  </w:r>
                </w:p>
              </w:tc>
              <w:tc>
                <w:tcPr>
                  <w:tcW w:w="600" w:type="pc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1-2 years</w:t>
                  </w:r>
                </w:p>
              </w:tc>
              <w:tc>
                <w:tcPr>
                  <w:tcW w:w="400" w:type="pc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2-3 years</w:t>
                  </w:r>
                </w:p>
              </w:tc>
              <w:tc>
                <w:tcPr>
                  <w:tcW w:w="900" w:type="pct"/>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More than 3 years</w:t>
                  </w:r>
                </w:p>
              </w:tc>
            </w:tr>
            <w:tr w:rsidR="009A5D57" w:rsidRPr="009A5D57">
              <w:trPr>
                <w:trHeight w:val="28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Project 1</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9A5D57" w:rsidRPr="009A5D57">
              <w:trPr>
                <w:trHeight w:val="285"/>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Project 2</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tcBorders>
                    <w:top w:val="outset" w:sz="6" w:space="0" w:color="auto"/>
                    <w:left w:val="outset" w:sz="6" w:space="0" w:color="auto"/>
                    <w:bottom w:val="outset" w:sz="6" w:space="0" w:color="auto"/>
                    <w:right w:val="outset" w:sz="6" w:space="0" w:color="auto"/>
                  </w:tcBorders>
                  <w:hideMark/>
                </w:tcPr>
                <w:p w:rsidR="009A5D57" w:rsidRPr="009A5D57" w:rsidRDefault="009A5D57" w:rsidP="009A5D57">
                  <w:pPr>
                    <w:spacing w:after="0" w:line="240" w:lineRule="auto"/>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bl>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**Details of projects where activity has been suspended shall be given separately.</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 xml:space="preserve">vi) Details of </w:t>
            </w:r>
            <w:proofErr w:type="spellStart"/>
            <w:r w:rsidRPr="009A5D57">
              <w:rPr>
                <w:rFonts w:ascii="Times New Roman" w:eastAsia="Times New Roman" w:hAnsi="Times New Roman" w:cs="Times New Roman"/>
                <w:b/>
                <w:bCs/>
                <w:sz w:val="24"/>
                <w:szCs w:val="24"/>
                <w:lang w:eastAsia="en-IN"/>
              </w:rPr>
              <w:t>Benami</w:t>
            </w:r>
            <w:proofErr w:type="spellEnd"/>
            <w:r w:rsidRPr="009A5D57">
              <w:rPr>
                <w:rFonts w:ascii="Times New Roman" w:eastAsia="Times New Roman" w:hAnsi="Times New Roman" w:cs="Times New Roman"/>
                <w:b/>
                <w:bCs/>
                <w:sz w:val="24"/>
                <w:szCs w:val="24"/>
                <w:lang w:eastAsia="en-IN"/>
              </w:rPr>
              <w:t xml:space="preserve"> Property held</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xml:space="preserve">Where any proceedings have been initiated or pending against the company for holding any </w:t>
            </w:r>
            <w:proofErr w:type="spellStart"/>
            <w:r w:rsidRPr="009A5D57">
              <w:rPr>
                <w:rFonts w:ascii="Times New Roman" w:eastAsia="Times New Roman" w:hAnsi="Times New Roman" w:cs="Times New Roman"/>
                <w:sz w:val="24"/>
                <w:szCs w:val="24"/>
                <w:lang w:eastAsia="en-IN"/>
              </w:rPr>
              <w:t>benami</w:t>
            </w:r>
            <w:proofErr w:type="spellEnd"/>
            <w:r w:rsidRPr="009A5D57">
              <w:rPr>
                <w:rFonts w:ascii="Times New Roman" w:eastAsia="Times New Roman" w:hAnsi="Times New Roman" w:cs="Times New Roman"/>
                <w:sz w:val="24"/>
                <w:szCs w:val="24"/>
                <w:lang w:eastAsia="en-IN"/>
              </w:rPr>
              <w:t xml:space="preserve"> property under the </w:t>
            </w:r>
            <w:proofErr w:type="spellStart"/>
            <w:r w:rsidRPr="009A5D57">
              <w:rPr>
                <w:rFonts w:ascii="Times New Roman" w:eastAsia="Times New Roman" w:hAnsi="Times New Roman" w:cs="Times New Roman"/>
                <w:sz w:val="24"/>
                <w:szCs w:val="24"/>
                <w:lang w:eastAsia="en-IN"/>
              </w:rPr>
              <w:t>Benami</w:t>
            </w:r>
            <w:proofErr w:type="spellEnd"/>
            <w:r w:rsidRPr="009A5D57">
              <w:rPr>
                <w:rFonts w:ascii="Times New Roman" w:eastAsia="Times New Roman" w:hAnsi="Times New Roman" w:cs="Times New Roman"/>
                <w:sz w:val="24"/>
                <w:szCs w:val="24"/>
                <w:lang w:eastAsia="en-IN"/>
              </w:rPr>
              <w:t xml:space="preserve"> Transactions (Prohibition) Act, 1988 (45 of 1988) and the rules made thereunder, the company shall disclose the following:-</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(a) Details of such property, including year of acquisition,</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(b) Amount thereof,</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(c) Details of Beneficiaries,</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(d) If property is in the books, then reference to the item in the Balance Sheet,</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(e) If property is not in the books, then the fact shall be stated with reasons</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(f) Where there are proceedings against the company under this law as an abetter of the transaction or as the transferor then the details shall be provided,</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(g) Nature of proceedings, status of same and company’s view on same.</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vii)</w:t>
            </w:r>
            <w:r w:rsidRPr="009A5D57">
              <w:rPr>
                <w:rFonts w:ascii="Times New Roman" w:eastAsia="Times New Roman" w:hAnsi="Times New Roman" w:cs="Times New Roman"/>
                <w:sz w:val="24"/>
                <w:szCs w:val="24"/>
                <w:lang w:eastAsia="en-IN"/>
              </w:rPr>
              <w:t xml:space="preserve"> Where the Company has borrowings from banks or financial institutions on the basis of security of current assets, it shall disclose the following:-</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xml:space="preserve">(a) </w:t>
            </w:r>
            <w:proofErr w:type="gramStart"/>
            <w:r w:rsidRPr="009A5D57">
              <w:rPr>
                <w:rFonts w:ascii="Times New Roman" w:eastAsia="Times New Roman" w:hAnsi="Times New Roman" w:cs="Times New Roman"/>
                <w:sz w:val="24"/>
                <w:szCs w:val="24"/>
                <w:lang w:eastAsia="en-IN"/>
              </w:rPr>
              <w:t>whether</w:t>
            </w:r>
            <w:proofErr w:type="gramEnd"/>
            <w:r w:rsidRPr="009A5D57">
              <w:rPr>
                <w:rFonts w:ascii="Times New Roman" w:eastAsia="Times New Roman" w:hAnsi="Times New Roman" w:cs="Times New Roman"/>
                <w:sz w:val="24"/>
                <w:szCs w:val="24"/>
                <w:lang w:eastAsia="en-IN"/>
              </w:rPr>
              <w:t xml:space="preserve"> quarterly returns or statements of current assets filed by the Company with banks or financial institutions are in agreement with the books of accounts.</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w:t>
            </w:r>
            <w:proofErr w:type="gramStart"/>
            <w:r w:rsidRPr="009A5D57">
              <w:rPr>
                <w:rFonts w:ascii="Times New Roman" w:eastAsia="Times New Roman" w:hAnsi="Times New Roman" w:cs="Times New Roman"/>
                <w:sz w:val="24"/>
                <w:szCs w:val="24"/>
                <w:lang w:eastAsia="en-IN"/>
              </w:rPr>
              <w:t>b</w:t>
            </w:r>
            <w:proofErr w:type="gramEnd"/>
            <w:r w:rsidRPr="009A5D57">
              <w:rPr>
                <w:rFonts w:ascii="Times New Roman" w:eastAsia="Times New Roman" w:hAnsi="Times New Roman" w:cs="Times New Roman"/>
                <w:sz w:val="24"/>
                <w:szCs w:val="24"/>
                <w:lang w:eastAsia="en-IN"/>
              </w:rPr>
              <w:t>) if not, summary of reconciliation and reasons of material discrepancies, if any to be adequately disclosed.</w:t>
            </w:r>
          </w:p>
          <w:p w:rsidR="009A5D57" w:rsidRPr="009A5D57" w:rsidRDefault="009A5D57" w:rsidP="005230FE">
            <w:pPr>
              <w:spacing w:after="0"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viii) Wilful Defaulter*</w:t>
            </w:r>
            <w:r w:rsidRPr="009A5D57">
              <w:rPr>
                <w:rFonts w:ascii="Times New Roman" w:eastAsia="Times New Roman" w:hAnsi="Times New Roman" w:cs="Times New Roman"/>
                <w:sz w:val="24"/>
                <w:szCs w:val="24"/>
                <w:lang w:eastAsia="en-IN"/>
              </w:rPr>
              <w:t xml:space="preserve"> </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xml:space="preserve">Where a company is a declared wilful defaulter by any bank or financial Institution or other lender, </w:t>
            </w:r>
            <w:r w:rsidRPr="009A5D57">
              <w:rPr>
                <w:rFonts w:ascii="Times New Roman" w:eastAsia="Times New Roman" w:hAnsi="Times New Roman" w:cs="Times New Roman"/>
                <w:sz w:val="24"/>
                <w:szCs w:val="24"/>
                <w:lang w:eastAsia="en-IN"/>
              </w:rPr>
              <w:lastRenderedPageBreak/>
              <w:t>following details shall be given:</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(a) Date of declaration as wilful defaulter,</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(b) Details of defaults (amount and nature of defaults),</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xml:space="preserve">* </w:t>
            </w:r>
            <w:r w:rsidRPr="009A5D57">
              <w:rPr>
                <w:rFonts w:ascii="Times New Roman" w:eastAsia="Times New Roman" w:hAnsi="Times New Roman" w:cs="Times New Roman"/>
                <w:b/>
                <w:bCs/>
                <w:sz w:val="24"/>
                <w:szCs w:val="24"/>
                <w:lang w:eastAsia="en-IN"/>
              </w:rPr>
              <w:t>“wilful</w:t>
            </w:r>
            <w:r w:rsidRPr="009A5D57">
              <w:rPr>
                <w:rFonts w:ascii="Times New Roman" w:eastAsia="Times New Roman" w:hAnsi="Times New Roman" w:cs="Times New Roman"/>
                <w:sz w:val="24"/>
                <w:szCs w:val="24"/>
                <w:lang w:eastAsia="en-IN"/>
              </w:rPr>
              <w:t xml:space="preserve"> </w:t>
            </w:r>
            <w:r w:rsidRPr="009A5D57">
              <w:rPr>
                <w:rFonts w:ascii="Times New Roman" w:eastAsia="Times New Roman" w:hAnsi="Times New Roman" w:cs="Times New Roman"/>
                <w:b/>
                <w:bCs/>
                <w:sz w:val="24"/>
                <w:szCs w:val="24"/>
                <w:lang w:eastAsia="en-IN"/>
              </w:rPr>
              <w:t>defaulter”</w:t>
            </w:r>
            <w:r w:rsidRPr="009A5D57">
              <w:rPr>
                <w:rFonts w:ascii="Times New Roman" w:eastAsia="Times New Roman" w:hAnsi="Times New Roman" w:cs="Times New Roman"/>
                <w:sz w:val="24"/>
                <w:szCs w:val="24"/>
                <w:lang w:eastAsia="en-IN"/>
              </w:rPr>
              <w:t xml:space="preserve"> here means a person or an issuer who or which is categorized as a wilful defaulter by any bank or financial institution (as defined under the Act) or consortium thereof, in accordance with the guidelines on wilful defaulters issued by the Reserve Bank of India.</w:t>
            </w:r>
          </w:p>
          <w:p w:rsidR="009A5D57" w:rsidRP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ix) Relationship with Struck off Companies</w:t>
            </w:r>
          </w:p>
          <w:p w:rsidR="009A5D57" w:rsidRDefault="009A5D57" w:rsidP="005230FE">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Where the company has any transactions with companies struck off under section 248 of the Companies Act, 2013 or section 560 of Companies Act, 1956, the Company shall disclose the following details:-</w:t>
            </w:r>
          </w:p>
          <w:tbl>
            <w:tblPr>
              <w:tblStyle w:val="TableGrid"/>
              <w:tblW w:w="5000" w:type="pct"/>
              <w:tblLook w:val="04A0" w:firstRow="1" w:lastRow="0" w:firstColumn="1" w:lastColumn="0" w:noHBand="0" w:noVBand="1"/>
            </w:tblPr>
            <w:tblGrid>
              <w:gridCol w:w="1995"/>
              <w:gridCol w:w="4100"/>
              <w:gridCol w:w="1530"/>
              <w:gridCol w:w="2865"/>
            </w:tblGrid>
            <w:tr w:rsidR="005230FE" w:rsidRPr="009A5D57" w:rsidTr="005D09CF">
              <w:trPr>
                <w:trHeight w:val="276"/>
              </w:trPr>
              <w:tc>
                <w:tcPr>
                  <w:tcW w:w="1995" w:type="dxa"/>
                  <w:vMerge w:val="restart"/>
                  <w:hideMark/>
                </w:tcPr>
                <w:p w:rsidR="005230FE" w:rsidRPr="009A5D57" w:rsidRDefault="005230FE" w:rsidP="005D09CF">
                  <w:pPr>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Name of Struck off Company</w:t>
                  </w:r>
                </w:p>
              </w:tc>
              <w:tc>
                <w:tcPr>
                  <w:tcW w:w="0" w:type="auto"/>
                  <w:vMerge w:val="restart"/>
                  <w:hideMark/>
                </w:tcPr>
                <w:p w:rsidR="005230FE" w:rsidRPr="009A5D57" w:rsidRDefault="005230FE" w:rsidP="005D09CF">
                  <w:pPr>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Nature of transactions with struck-off Company</w:t>
                  </w:r>
                </w:p>
              </w:tc>
              <w:tc>
                <w:tcPr>
                  <w:tcW w:w="1530" w:type="dxa"/>
                  <w:vMerge w:val="restart"/>
                  <w:hideMark/>
                </w:tcPr>
                <w:p w:rsidR="005230FE" w:rsidRPr="009A5D57" w:rsidRDefault="005230FE" w:rsidP="005D09CF">
                  <w:pPr>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Balance outstanding</w:t>
                  </w:r>
                </w:p>
              </w:tc>
              <w:tc>
                <w:tcPr>
                  <w:tcW w:w="2865" w:type="dxa"/>
                  <w:vMerge w:val="restart"/>
                  <w:hideMark/>
                </w:tcPr>
                <w:p w:rsidR="005230FE" w:rsidRPr="009A5D57" w:rsidRDefault="005230FE" w:rsidP="005D09CF">
                  <w:pPr>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Relationship with</w:t>
                  </w:r>
                  <w:r w:rsidRPr="009A5D57">
                    <w:rPr>
                      <w:rFonts w:ascii="Times New Roman" w:eastAsia="Times New Roman" w:hAnsi="Times New Roman" w:cs="Times New Roman"/>
                      <w:b/>
                      <w:bCs/>
                      <w:sz w:val="24"/>
                      <w:szCs w:val="24"/>
                      <w:lang w:eastAsia="en-IN"/>
                    </w:rPr>
                    <w:br/>
                    <w:t>the Struck off company,</w:t>
                  </w:r>
                  <w:r w:rsidRPr="009A5D57">
                    <w:rPr>
                      <w:rFonts w:ascii="Times New Roman" w:eastAsia="Times New Roman" w:hAnsi="Times New Roman" w:cs="Times New Roman"/>
                      <w:b/>
                      <w:bCs/>
                      <w:sz w:val="24"/>
                      <w:szCs w:val="24"/>
                      <w:lang w:eastAsia="en-IN"/>
                    </w:rPr>
                    <w:br/>
                    <w:t>if any, to be disclosed</w:t>
                  </w:r>
                </w:p>
              </w:tc>
            </w:tr>
            <w:tr w:rsidR="005230FE" w:rsidRPr="009A5D57" w:rsidTr="005D09CF">
              <w:trPr>
                <w:trHeight w:val="580"/>
              </w:trPr>
              <w:tc>
                <w:tcPr>
                  <w:tcW w:w="0" w:type="auto"/>
                  <w:vMerge/>
                  <w:hideMark/>
                </w:tcPr>
                <w:p w:rsidR="005230FE" w:rsidRPr="009A5D57" w:rsidRDefault="005230FE" w:rsidP="005D09CF">
                  <w:pPr>
                    <w:rPr>
                      <w:rFonts w:ascii="Times New Roman" w:eastAsia="Times New Roman" w:hAnsi="Times New Roman" w:cs="Times New Roman"/>
                      <w:sz w:val="24"/>
                      <w:szCs w:val="24"/>
                      <w:lang w:eastAsia="en-IN"/>
                    </w:rPr>
                  </w:pPr>
                </w:p>
              </w:tc>
              <w:tc>
                <w:tcPr>
                  <w:tcW w:w="0" w:type="auto"/>
                  <w:vMerge/>
                  <w:hideMark/>
                </w:tcPr>
                <w:p w:rsidR="005230FE" w:rsidRPr="009A5D57" w:rsidRDefault="005230FE" w:rsidP="005D09CF">
                  <w:pPr>
                    <w:rPr>
                      <w:rFonts w:ascii="Times New Roman" w:eastAsia="Times New Roman" w:hAnsi="Times New Roman" w:cs="Times New Roman"/>
                      <w:sz w:val="24"/>
                      <w:szCs w:val="24"/>
                      <w:lang w:eastAsia="en-IN"/>
                    </w:rPr>
                  </w:pPr>
                </w:p>
              </w:tc>
              <w:tc>
                <w:tcPr>
                  <w:tcW w:w="0" w:type="auto"/>
                  <w:vMerge/>
                  <w:hideMark/>
                </w:tcPr>
                <w:p w:rsidR="005230FE" w:rsidRPr="009A5D57" w:rsidRDefault="005230FE" w:rsidP="005D09CF">
                  <w:pPr>
                    <w:rPr>
                      <w:rFonts w:ascii="Times New Roman" w:eastAsia="Times New Roman" w:hAnsi="Times New Roman" w:cs="Times New Roman"/>
                      <w:sz w:val="24"/>
                      <w:szCs w:val="24"/>
                      <w:lang w:eastAsia="en-IN"/>
                    </w:rPr>
                  </w:pPr>
                </w:p>
              </w:tc>
              <w:tc>
                <w:tcPr>
                  <w:tcW w:w="0" w:type="auto"/>
                  <w:vMerge/>
                  <w:hideMark/>
                </w:tcPr>
                <w:p w:rsidR="005230FE" w:rsidRPr="009A5D57" w:rsidRDefault="005230FE" w:rsidP="005D09CF">
                  <w:pPr>
                    <w:rPr>
                      <w:rFonts w:ascii="Times New Roman" w:eastAsia="Times New Roman" w:hAnsi="Times New Roman" w:cs="Times New Roman"/>
                      <w:sz w:val="24"/>
                      <w:szCs w:val="24"/>
                      <w:lang w:eastAsia="en-IN"/>
                    </w:rPr>
                  </w:pPr>
                </w:p>
              </w:tc>
            </w:tr>
            <w:tr w:rsidR="005230FE" w:rsidRPr="009A5D57" w:rsidTr="005D09CF">
              <w:trPr>
                <w:trHeight w:val="285"/>
              </w:trPr>
              <w:tc>
                <w:tcPr>
                  <w:tcW w:w="0" w:type="auto"/>
                  <w:gridSpan w:val="2"/>
                </w:tcPr>
                <w:p w:rsidR="005230FE" w:rsidRPr="009A5D57" w:rsidRDefault="005230FE" w:rsidP="005D09CF">
                  <w:pP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Investments in securities</w:t>
                  </w:r>
                </w:p>
              </w:tc>
              <w:tc>
                <w:tcPr>
                  <w:tcW w:w="0" w:type="auto"/>
                </w:tcPr>
                <w:p w:rsidR="005230FE" w:rsidRPr="009A5D57" w:rsidRDefault="005230FE" w:rsidP="005D09CF">
                  <w:pPr>
                    <w:jc w:val="center"/>
                    <w:rPr>
                      <w:rFonts w:ascii="Times New Roman" w:eastAsia="Times New Roman" w:hAnsi="Times New Roman" w:cs="Times New Roman"/>
                      <w:sz w:val="24"/>
                      <w:szCs w:val="24"/>
                      <w:lang w:eastAsia="en-IN"/>
                    </w:rPr>
                  </w:pPr>
                </w:p>
              </w:tc>
              <w:tc>
                <w:tcPr>
                  <w:tcW w:w="0" w:type="auto"/>
                </w:tcPr>
                <w:p w:rsidR="005230FE" w:rsidRPr="009A5D57" w:rsidRDefault="005230FE" w:rsidP="005D09CF">
                  <w:pPr>
                    <w:jc w:val="center"/>
                    <w:rPr>
                      <w:rFonts w:ascii="Times New Roman" w:eastAsia="Times New Roman" w:hAnsi="Times New Roman" w:cs="Times New Roman"/>
                      <w:sz w:val="24"/>
                      <w:szCs w:val="24"/>
                      <w:lang w:eastAsia="en-IN"/>
                    </w:rPr>
                  </w:pPr>
                </w:p>
              </w:tc>
            </w:tr>
            <w:tr w:rsidR="005230FE" w:rsidRPr="009A5D57" w:rsidTr="005D09CF">
              <w:trPr>
                <w:trHeight w:val="285"/>
              </w:trPr>
              <w:tc>
                <w:tcPr>
                  <w:tcW w:w="0" w:type="auto"/>
                  <w:gridSpan w:val="2"/>
                </w:tcPr>
                <w:p w:rsidR="005230FE" w:rsidRPr="009A5D57" w:rsidRDefault="005230FE" w:rsidP="005D09CF">
                  <w:pP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Receivables</w:t>
                  </w:r>
                </w:p>
              </w:tc>
              <w:tc>
                <w:tcPr>
                  <w:tcW w:w="0" w:type="auto"/>
                </w:tcPr>
                <w:p w:rsidR="005230FE" w:rsidRPr="009A5D57" w:rsidRDefault="005230FE" w:rsidP="005D09CF">
                  <w:pPr>
                    <w:jc w:val="center"/>
                    <w:rPr>
                      <w:rFonts w:ascii="Times New Roman" w:eastAsia="Times New Roman" w:hAnsi="Times New Roman" w:cs="Times New Roman"/>
                      <w:sz w:val="24"/>
                      <w:szCs w:val="24"/>
                      <w:lang w:eastAsia="en-IN"/>
                    </w:rPr>
                  </w:pPr>
                </w:p>
              </w:tc>
              <w:tc>
                <w:tcPr>
                  <w:tcW w:w="0" w:type="auto"/>
                </w:tcPr>
                <w:p w:rsidR="005230FE" w:rsidRPr="009A5D57" w:rsidRDefault="005230FE" w:rsidP="005D09CF">
                  <w:pPr>
                    <w:jc w:val="center"/>
                    <w:rPr>
                      <w:rFonts w:ascii="Times New Roman" w:eastAsia="Times New Roman" w:hAnsi="Times New Roman" w:cs="Times New Roman"/>
                      <w:sz w:val="24"/>
                      <w:szCs w:val="24"/>
                      <w:lang w:eastAsia="en-IN"/>
                    </w:rPr>
                  </w:pPr>
                </w:p>
              </w:tc>
            </w:tr>
            <w:tr w:rsidR="005230FE" w:rsidRPr="009A5D57" w:rsidTr="005D09CF">
              <w:trPr>
                <w:trHeight w:val="285"/>
              </w:trPr>
              <w:tc>
                <w:tcPr>
                  <w:tcW w:w="0" w:type="auto"/>
                  <w:gridSpan w:val="2"/>
                  <w:hideMark/>
                </w:tcPr>
                <w:p w:rsidR="005230FE" w:rsidRPr="009A5D57" w:rsidRDefault="005230FE" w:rsidP="005D09CF">
                  <w:pPr>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p w:rsidR="005230FE" w:rsidRPr="009A5D57" w:rsidRDefault="005230FE" w:rsidP="005D09CF">
                  <w:pP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Payables</w:t>
                  </w:r>
                </w:p>
              </w:tc>
              <w:tc>
                <w:tcPr>
                  <w:tcW w:w="0" w:type="auto"/>
                  <w:hideMark/>
                </w:tcPr>
                <w:p w:rsidR="005230FE" w:rsidRPr="009A5D57" w:rsidRDefault="005230FE" w:rsidP="005D09CF">
                  <w:pPr>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hideMark/>
                </w:tcPr>
                <w:p w:rsidR="005230FE" w:rsidRPr="009A5D57" w:rsidRDefault="005230FE" w:rsidP="005D09CF">
                  <w:pPr>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5230FE" w:rsidRPr="009A5D57" w:rsidTr="005D09CF">
              <w:trPr>
                <w:trHeight w:val="285"/>
              </w:trPr>
              <w:tc>
                <w:tcPr>
                  <w:tcW w:w="0" w:type="auto"/>
                  <w:gridSpan w:val="2"/>
                  <w:hideMark/>
                </w:tcPr>
                <w:p w:rsidR="005230FE" w:rsidRPr="009A5D57" w:rsidRDefault="005230FE" w:rsidP="005D09CF">
                  <w:pPr>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p w:rsidR="005230FE" w:rsidRPr="009A5D57" w:rsidRDefault="005230FE" w:rsidP="005D09CF">
                  <w:pP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Shares held by stuck off company</w:t>
                  </w:r>
                </w:p>
              </w:tc>
              <w:tc>
                <w:tcPr>
                  <w:tcW w:w="0" w:type="auto"/>
                  <w:hideMark/>
                </w:tcPr>
                <w:p w:rsidR="005230FE" w:rsidRPr="009A5D57" w:rsidRDefault="005230FE" w:rsidP="005D09CF">
                  <w:pPr>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hideMark/>
                </w:tcPr>
                <w:p w:rsidR="005230FE" w:rsidRPr="009A5D57" w:rsidRDefault="005230FE" w:rsidP="005D09CF">
                  <w:pPr>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r w:rsidR="005230FE" w:rsidRPr="009A5D57" w:rsidTr="005D09CF">
              <w:trPr>
                <w:trHeight w:val="285"/>
              </w:trPr>
              <w:tc>
                <w:tcPr>
                  <w:tcW w:w="0" w:type="auto"/>
                  <w:gridSpan w:val="2"/>
                  <w:hideMark/>
                </w:tcPr>
                <w:p w:rsidR="005230FE" w:rsidRPr="009A5D57" w:rsidRDefault="005230FE" w:rsidP="005D09CF">
                  <w:pPr>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p w:rsidR="005230FE" w:rsidRPr="009A5D57" w:rsidRDefault="005230FE" w:rsidP="005D09CF">
                  <w:pP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Other outstanding balances (to be specified)</w:t>
                  </w:r>
                </w:p>
              </w:tc>
              <w:tc>
                <w:tcPr>
                  <w:tcW w:w="0" w:type="auto"/>
                  <w:hideMark/>
                </w:tcPr>
                <w:p w:rsidR="005230FE" w:rsidRPr="009A5D57" w:rsidRDefault="005230FE" w:rsidP="005D09CF">
                  <w:pPr>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c>
                <w:tcPr>
                  <w:tcW w:w="0" w:type="auto"/>
                  <w:hideMark/>
                </w:tcPr>
                <w:p w:rsidR="005230FE" w:rsidRPr="009A5D57" w:rsidRDefault="005230FE" w:rsidP="005D09CF">
                  <w:pPr>
                    <w:jc w:val="center"/>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w:t>
                  </w:r>
                </w:p>
              </w:tc>
            </w:tr>
          </w:tbl>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x) Registration of charges or satisfaction with Registrar of Companies</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Where any charges or satisfaction yet to be registered with Registrar of Companies beyond the statutory period, details and reasons thereof shall be disclosed.</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xi) Compliance with number of layers of companies</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Where the company has not complied with the number of layers prescribed under clause (87) of section 2 of the Act read with Companies (Restriction on number of Layers) Rules, 2017, the name and CIN of the companies beyond the specified layers and the relationship/extent of holding of the company in such downstream companies shall be disclosed.</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 xml:space="preserve">xii) Following Ratios to be disclosed:- </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(a) Current Ratio,</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(b) Debt-Equity Ratio,</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(c) Debt Service Coverage Ratio,</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lastRenderedPageBreak/>
              <w:t>(d) Return on Equity Ratio,</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(e) Inventory turnover ratio,</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(f) Trade Receivables turnover ratio,</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(g) Trade payables turnover ratio,</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(h) Net capital turnover ratio,</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(i) Net profit ratio,</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(j) Return on Capital employed,</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(k) Return on investment</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The company shall explain the items included in numerator and denominator for computing the above ratios. Further explanation shall be provided for any change in the ratio by more than 25% as compared to the preceding year.</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xiii) Compliance with approved Scheme(s) of Arrangements</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Where any Scheme of Arrangements has been approved by the Competent Authority in terms of sections 230 to 237 of the Companies Act, 2013, the Company shall disclose that the effect of such Scheme of Arrangements have been accounted for in the books of account of the Company ‘in accordance with the Scheme’ and ‘in accordance with accounting standards’ and deviation in this regard shall be explained.</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b/>
                <w:bCs/>
                <w:sz w:val="24"/>
                <w:szCs w:val="24"/>
                <w:lang w:eastAsia="en-IN"/>
              </w:rPr>
              <w:t>xiv) Utilisation of Borrowed funds and share premium:</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(A) Where company has advanced or loaned or invested funds (either borrowed funds or share premium or any other sources or kind of funds) to any other person(s) or entity(</w:t>
            </w:r>
            <w:proofErr w:type="spellStart"/>
            <w:r w:rsidRPr="009A5D57">
              <w:rPr>
                <w:rFonts w:ascii="Times New Roman" w:eastAsia="Times New Roman" w:hAnsi="Times New Roman" w:cs="Times New Roman"/>
                <w:sz w:val="24"/>
                <w:szCs w:val="24"/>
                <w:lang w:eastAsia="en-IN"/>
              </w:rPr>
              <w:t>ies</w:t>
            </w:r>
            <w:proofErr w:type="spellEnd"/>
            <w:r w:rsidRPr="009A5D57">
              <w:rPr>
                <w:rFonts w:ascii="Times New Roman" w:eastAsia="Times New Roman" w:hAnsi="Times New Roman" w:cs="Times New Roman"/>
                <w:sz w:val="24"/>
                <w:szCs w:val="24"/>
                <w:lang w:eastAsia="en-IN"/>
              </w:rPr>
              <w:t>), including foreign entities (Intermediaries) with the understanding (whether recorded in writing or otherwise) that the Intermediary shall</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(i) directly or indirectly lend or invest in other persons or entities identified in any manner whatsoever by or on behalf of the company (Ultimate Beneficiaries) or</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(ii) provide any guarantee, security or the like to or on behalf of the Ultimate Beneficiaries;</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The company shall disclose the following:-</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(I) date and amount of fund advanced or loaned or invested in Intermediaries with complete details of each Intermediary.</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xml:space="preserve">(II) </w:t>
            </w:r>
            <w:proofErr w:type="gramStart"/>
            <w:r w:rsidRPr="009A5D57">
              <w:rPr>
                <w:rFonts w:ascii="Times New Roman" w:eastAsia="Times New Roman" w:hAnsi="Times New Roman" w:cs="Times New Roman"/>
                <w:sz w:val="24"/>
                <w:szCs w:val="24"/>
                <w:lang w:eastAsia="en-IN"/>
              </w:rPr>
              <w:t>date</w:t>
            </w:r>
            <w:proofErr w:type="gramEnd"/>
            <w:r w:rsidRPr="009A5D57">
              <w:rPr>
                <w:rFonts w:ascii="Times New Roman" w:eastAsia="Times New Roman" w:hAnsi="Times New Roman" w:cs="Times New Roman"/>
                <w:sz w:val="24"/>
                <w:szCs w:val="24"/>
                <w:lang w:eastAsia="en-IN"/>
              </w:rPr>
              <w:t xml:space="preserve"> and amount of fund further advanced or loaned or invested by such Intermediaries to other intermediaries or Ultimate Beneficiaries </w:t>
            </w:r>
            <w:proofErr w:type="spellStart"/>
            <w:r w:rsidRPr="009A5D57">
              <w:rPr>
                <w:rFonts w:ascii="Times New Roman" w:eastAsia="Times New Roman" w:hAnsi="Times New Roman" w:cs="Times New Roman"/>
                <w:sz w:val="24"/>
                <w:szCs w:val="24"/>
                <w:lang w:eastAsia="en-IN"/>
              </w:rPr>
              <w:t>alongwith</w:t>
            </w:r>
            <w:proofErr w:type="spellEnd"/>
            <w:r w:rsidRPr="009A5D57">
              <w:rPr>
                <w:rFonts w:ascii="Times New Roman" w:eastAsia="Times New Roman" w:hAnsi="Times New Roman" w:cs="Times New Roman"/>
                <w:sz w:val="24"/>
                <w:szCs w:val="24"/>
                <w:lang w:eastAsia="en-IN"/>
              </w:rPr>
              <w:t xml:space="preserve"> complete details of the ultimate beneficiaries.</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lastRenderedPageBreak/>
              <w:t>(III) date and amount of guarantee, security or the like provided to or on behalf of the Ultimate Beneficiaries</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xml:space="preserve">(IV) </w:t>
            </w:r>
            <w:proofErr w:type="gramStart"/>
            <w:r w:rsidRPr="009A5D57">
              <w:rPr>
                <w:rFonts w:ascii="Times New Roman" w:eastAsia="Times New Roman" w:hAnsi="Times New Roman" w:cs="Times New Roman"/>
                <w:sz w:val="24"/>
                <w:szCs w:val="24"/>
                <w:lang w:eastAsia="en-IN"/>
              </w:rPr>
              <w:t>declaration</w:t>
            </w:r>
            <w:proofErr w:type="gramEnd"/>
            <w:r w:rsidRPr="009A5D57">
              <w:rPr>
                <w:rFonts w:ascii="Times New Roman" w:eastAsia="Times New Roman" w:hAnsi="Times New Roman" w:cs="Times New Roman"/>
                <w:sz w:val="24"/>
                <w:szCs w:val="24"/>
                <w:lang w:eastAsia="en-IN"/>
              </w:rPr>
              <w:t xml:space="preserve"> that relevant provisions of the Foreign Exchange Management Act, 1999 (42 of 1999) and Companies Act has been complied with for such transactions and the transactions are not </w:t>
            </w:r>
            <w:proofErr w:type="spellStart"/>
            <w:r w:rsidRPr="009A5D57">
              <w:rPr>
                <w:rFonts w:ascii="Times New Roman" w:eastAsia="Times New Roman" w:hAnsi="Times New Roman" w:cs="Times New Roman"/>
                <w:sz w:val="24"/>
                <w:szCs w:val="24"/>
                <w:lang w:eastAsia="en-IN"/>
              </w:rPr>
              <w:t>violative</w:t>
            </w:r>
            <w:proofErr w:type="spellEnd"/>
            <w:r w:rsidRPr="009A5D57">
              <w:rPr>
                <w:rFonts w:ascii="Times New Roman" w:eastAsia="Times New Roman" w:hAnsi="Times New Roman" w:cs="Times New Roman"/>
                <w:sz w:val="24"/>
                <w:szCs w:val="24"/>
                <w:lang w:eastAsia="en-IN"/>
              </w:rPr>
              <w:t xml:space="preserve"> of the Prevention of Money-Laundering act, 2002 (15 of 2003).;</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(B) Where a company has received any fund from any person(s) or entity(</w:t>
            </w:r>
            <w:proofErr w:type="spellStart"/>
            <w:r w:rsidRPr="009A5D57">
              <w:rPr>
                <w:rFonts w:ascii="Times New Roman" w:eastAsia="Times New Roman" w:hAnsi="Times New Roman" w:cs="Times New Roman"/>
                <w:sz w:val="24"/>
                <w:szCs w:val="24"/>
                <w:lang w:eastAsia="en-IN"/>
              </w:rPr>
              <w:t>ies</w:t>
            </w:r>
            <w:proofErr w:type="spellEnd"/>
            <w:r w:rsidRPr="009A5D57">
              <w:rPr>
                <w:rFonts w:ascii="Times New Roman" w:eastAsia="Times New Roman" w:hAnsi="Times New Roman" w:cs="Times New Roman"/>
                <w:sz w:val="24"/>
                <w:szCs w:val="24"/>
                <w:lang w:eastAsia="en-IN"/>
              </w:rPr>
              <w:t xml:space="preserve">), including foreign entities (Funding Party) with the understanding (whether recorded in writing or otherwise) that the </w:t>
            </w:r>
            <w:proofErr w:type="spellStart"/>
            <w:r w:rsidRPr="009A5D57">
              <w:rPr>
                <w:rFonts w:ascii="Times New Roman" w:eastAsia="Times New Roman" w:hAnsi="Times New Roman" w:cs="Times New Roman"/>
                <w:sz w:val="24"/>
                <w:szCs w:val="24"/>
                <w:lang w:eastAsia="en-IN"/>
              </w:rPr>
              <w:t>the</w:t>
            </w:r>
            <w:proofErr w:type="spellEnd"/>
            <w:r w:rsidRPr="009A5D57">
              <w:rPr>
                <w:rFonts w:ascii="Times New Roman" w:eastAsia="Times New Roman" w:hAnsi="Times New Roman" w:cs="Times New Roman"/>
                <w:sz w:val="24"/>
                <w:szCs w:val="24"/>
                <w:lang w:eastAsia="en-IN"/>
              </w:rPr>
              <w:t xml:space="preserve"> company shall</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(i) directly or indirectly lend or invest in other persons or entities identified in any manner whatsoever by or on behalf of the Funding Party (Ultimate Beneficiaries) or</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(ii) provide any guarantee, security or the like on behalf of the Ultimate Beneficiaries, the company shall disclose the following:-</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(I) date and amount of fund received from Funding parties with complete details of each Funding party.</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xml:space="preserve">(II) date and amount of fund further advanced or loaned or invested other intermediaries or Ultimate Beneficiaries </w:t>
            </w:r>
            <w:proofErr w:type="spellStart"/>
            <w:r w:rsidRPr="009A5D57">
              <w:rPr>
                <w:rFonts w:ascii="Times New Roman" w:eastAsia="Times New Roman" w:hAnsi="Times New Roman" w:cs="Times New Roman"/>
                <w:sz w:val="24"/>
                <w:szCs w:val="24"/>
                <w:lang w:eastAsia="en-IN"/>
              </w:rPr>
              <w:t>alongwith</w:t>
            </w:r>
            <w:proofErr w:type="spellEnd"/>
            <w:r w:rsidRPr="009A5D57">
              <w:rPr>
                <w:rFonts w:ascii="Times New Roman" w:eastAsia="Times New Roman" w:hAnsi="Times New Roman" w:cs="Times New Roman"/>
                <w:sz w:val="24"/>
                <w:szCs w:val="24"/>
                <w:lang w:eastAsia="en-IN"/>
              </w:rPr>
              <w:t xml:space="preserve"> complete details of the other intermediaries’ or ultimate beneficiaries.</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(III) date and amount of guarantee, security or the like provided to or on behalf of the Ultimate Beneficiaries</w:t>
            </w:r>
          </w:p>
          <w:p w:rsidR="009A5D57" w:rsidRPr="009A5D57" w:rsidRDefault="009A5D57" w:rsidP="00A15CFC">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A5D57">
              <w:rPr>
                <w:rFonts w:ascii="Times New Roman" w:eastAsia="Times New Roman" w:hAnsi="Times New Roman" w:cs="Times New Roman"/>
                <w:sz w:val="24"/>
                <w:szCs w:val="24"/>
                <w:lang w:eastAsia="en-IN"/>
              </w:rPr>
              <w:t xml:space="preserve">(IV) </w:t>
            </w:r>
            <w:proofErr w:type="gramStart"/>
            <w:r w:rsidRPr="009A5D57">
              <w:rPr>
                <w:rFonts w:ascii="Times New Roman" w:eastAsia="Times New Roman" w:hAnsi="Times New Roman" w:cs="Times New Roman"/>
                <w:sz w:val="24"/>
                <w:szCs w:val="24"/>
                <w:lang w:eastAsia="en-IN"/>
              </w:rPr>
              <w:t>declaration</w:t>
            </w:r>
            <w:proofErr w:type="gramEnd"/>
            <w:r w:rsidRPr="009A5D57">
              <w:rPr>
                <w:rFonts w:ascii="Times New Roman" w:eastAsia="Times New Roman" w:hAnsi="Times New Roman" w:cs="Times New Roman"/>
                <w:sz w:val="24"/>
                <w:szCs w:val="24"/>
                <w:lang w:eastAsia="en-IN"/>
              </w:rPr>
              <w:t xml:space="preserve"> that relevant provisions of the Foreign Exchange Management Act, 1999 (42 of 1999) and Companies Act has been complied with for such transactions and the transactions are not </w:t>
            </w:r>
            <w:proofErr w:type="spellStart"/>
            <w:r w:rsidRPr="009A5D57">
              <w:rPr>
                <w:rFonts w:ascii="Times New Roman" w:eastAsia="Times New Roman" w:hAnsi="Times New Roman" w:cs="Times New Roman"/>
                <w:sz w:val="24"/>
                <w:szCs w:val="24"/>
                <w:lang w:eastAsia="en-IN"/>
              </w:rPr>
              <w:t>violative</w:t>
            </w:r>
            <w:proofErr w:type="spellEnd"/>
            <w:r w:rsidRPr="009A5D57">
              <w:rPr>
                <w:rFonts w:ascii="Times New Roman" w:eastAsia="Times New Roman" w:hAnsi="Times New Roman" w:cs="Times New Roman"/>
                <w:sz w:val="24"/>
                <w:szCs w:val="24"/>
                <w:lang w:eastAsia="en-IN"/>
              </w:rPr>
              <w:t xml:space="preserve"> of the Prevention of Money-Laundering act, 2002 (15 of 2003).;</w:t>
            </w:r>
          </w:p>
        </w:tc>
      </w:tr>
    </w:tbl>
    <w:p w:rsidR="001D0095" w:rsidRPr="009A5D57" w:rsidRDefault="001D0095">
      <w:pPr>
        <w:rPr>
          <w:lang w:val="en-US"/>
        </w:rPr>
      </w:pPr>
    </w:p>
    <w:sectPr w:rsidR="001D0095" w:rsidRPr="009A5D57" w:rsidSect="002C2985">
      <w:pgSz w:w="12240" w:h="15840" w:code="1"/>
      <w:pgMar w:top="1300" w:right="565" w:bottom="1338" w:left="928" w:header="0" w:footer="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439" w:rsidRDefault="000A2439" w:rsidP="009A5D57">
      <w:pPr>
        <w:spacing w:after="0" w:line="240" w:lineRule="auto"/>
      </w:pPr>
      <w:r>
        <w:separator/>
      </w:r>
    </w:p>
  </w:endnote>
  <w:endnote w:type="continuationSeparator" w:id="0">
    <w:p w:rsidR="000A2439" w:rsidRDefault="000A2439" w:rsidP="009A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439" w:rsidRDefault="000A2439" w:rsidP="009A5D57">
      <w:pPr>
        <w:spacing w:after="0" w:line="240" w:lineRule="auto"/>
      </w:pPr>
      <w:r>
        <w:separator/>
      </w:r>
    </w:p>
  </w:footnote>
  <w:footnote w:type="continuationSeparator" w:id="0">
    <w:p w:rsidR="000A2439" w:rsidRDefault="000A2439" w:rsidP="009A5D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D57"/>
    <w:rsid w:val="000A2439"/>
    <w:rsid w:val="001D0095"/>
    <w:rsid w:val="002C2985"/>
    <w:rsid w:val="005230FE"/>
    <w:rsid w:val="008F65BB"/>
    <w:rsid w:val="009A5D57"/>
    <w:rsid w:val="00A15CFC"/>
    <w:rsid w:val="00B8175A"/>
    <w:rsid w:val="00BF4A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ditnew1">
    <w:name w:val="audit_new_1"/>
    <w:basedOn w:val="Normal"/>
    <w:rsid w:val="009A5D5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A5D57"/>
    <w:rPr>
      <w:b/>
      <w:bCs/>
    </w:rPr>
  </w:style>
  <w:style w:type="paragraph" w:styleId="NormalWeb">
    <w:name w:val="Normal (Web)"/>
    <w:basedOn w:val="Normal"/>
    <w:uiPriority w:val="99"/>
    <w:unhideWhenUsed/>
    <w:rsid w:val="009A5D5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9A5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D57"/>
  </w:style>
  <w:style w:type="paragraph" w:styleId="Footer">
    <w:name w:val="footer"/>
    <w:basedOn w:val="Normal"/>
    <w:link w:val="FooterChar"/>
    <w:uiPriority w:val="99"/>
    <w:unhideWhenUsed/>
    <w:rsid w:val="009A5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D57"/>
  </w:style>
  <w:style w:type="table" w:styleId="TableGrid">
    <w:name w:val="Table Grid"/>
    <w:basedOn w:val="TableNormal"/>
    <w:uiPriority w:val="59"/>
    <w:rsid w:val="005230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ditnew1">
    <w:name w:val="audit_new_1"/>
    <w:basedOn w:val="Normal"/>
    <w:rsid w:val="009A5D5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A5D57"/>
    <w:rPr>
      <w:b/>
      <w:bCs/>
    </w:rPr>
  </w:style>
  <w:style w:type="paragraph" w:styleId="NormalWeb">
    <w:name w:val="Normal (Web)"/>
    <w:basedOn w:val="Normal"/>
    <w:uiPriority w:val="99"/>
    <w:unhideWhenUsed/>
    <w:rsid w:val="009A5D5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9A5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D57"/>
  </w:style>
  <w:style w:type="paragraph" w:styleId="Footer">
    <w:name w:val="footer"/>
    <w:basedOn w:val="Normal"/>
    <w:link w:val="FooterChar"/>
    <w:uiPriority w:val="99"/>
    <w:unhideWhenUsed/>
    <w:rsid w:val="009A5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D57"/>
  </w:style>
  <w:style w:type="table" w:styleId="TableGrid">
    <w:name w:val="Table Grid"/>
    <w:basedOn w:val="TableNormal"/>
    <w:uiPriority w:val="59"/>
    <w:rsid w:val="005230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09341">
      <w:bodyDiv w:val="1"/>
      <w:marLeft w:val="0"/>
      <w:marRight w:val="0"/>
      <w:marTop w:val="0"/>
      <w:marBottom w:val="0"/>
      <w:divBdr>
        <w:top w:val="none" w:sz="0" w:space="0" w:color="auto"/>
        <w:left w:val="none" w:sz="0" w:space="0" w:color="auto"/>
        <w:bottom w:val="none" w:sz="0" w:space="0" w:color="auto"/>
        <w:right w:val="none" w:sz="0" w:space="0" w:color="auto"/>
      </w:divBdr>
      <w:divsChild>
        <w:div w:id="603078620">
          <w:marLeft w:val="0"/>
          <w:marRight w:val="0"/>
          <w:marTop w:val="0"/>
          <w:marBottom w:val="0"/>
          <w:divBdr>
            <w:top w:val="none" w:sz="0" w:space="0" w:color="auto"/>
            <w:left w:val="none" w:sz="0" w:space="0" w:color="auto"/>
            <w:bottom w:val="none" w:sz="0" w:space="0" w:color="auto"/>
            <w:right w:val="none" w:sz="0" w:space="0" w:color="auto"/>
          </w:divBdr>
        </w:div>
        <w:div w:id="1713379134">
          <w:marLeft w:val="0"/>
          <w:marRight w:val="0"/>
          <w:marTop w:val="0"/>
          <w:marBottom w:val="0"/>
          <w:divBdr>
            <w:top w:val="none" w:sz="0" w:space="0" w:color="auto"/>
            <w:left w:val="none" w:sz="0" w:space="0" w:color="auto"/>
            <w:bottom w:val="none" w:sz="0" w:space="0" w:color="auto"/>
            <w:right w:val="none" w:sz="0" w:space="0" w:color="auto"/>
          </w:divBdr>
        </w:div>
        <w:div w:id="710573175">
          <w:marLeft w:val="0"/>
          <w:marRight w:val="0"/>
          <w:marTop w:val="0"/>
          <w:marBottom w:val="0"/>
          <w:divBdr>
            <w:top w:val="none" w:sz="0" w:space="0" w:color="auto"/>
            <w:left w:val="none" w:sz="0" w:space="0" w:color="auto"/>
            <w:bottom w:val="none" w:sz="0" w:space="0" w:color="auto"/>
            <w:right w:val="none" w:sz="0" w:space="0" w:color="auto"/>
          </w:divBdr>
        </w:div>
        <w:div w:id="2077433075">
          <w:marLeft w:val="0"/>
          <w:marRight w:val="0"/>
          <w:marTop w:val="0"/>
          <w:marBottom w:val="0"/>
          <w:divBdr>
            <w:top w:val="none" w:sz="0" w:space="0" w:color="auto"/>
            <w:left w:val="none" w:sz="0" w:space="0" w:color="auto"/>
            <w:bottom w:val="none" w:sz="0" w:space="0" w:color="auto"/>
            <w:right w:val="none" w:sz="0" w:space="0" w:color="auto"/>
          </w:divBdr>
        </w:div>
        <w:div w:id="2004622021">
          <w:marLeft w:val="0"/>
          <w:marRight w:val="0"/>
          <w:marTop w:val="0"/>
          <w:marBottom w:val="0"/>
          <w:divBdr>
            <w:top w:val="none" w:sz="0" w:space="0" w:color="auto"/>
            <w:left w:val="none" w:sz="0" w:space="0" w:color="auto"/>
            <w:bottom w:val="none" w:sz="0" w:space="0" w:color="auto"/>
            <w:right w:val="none" w:sz="0" w:space="0" w:color="auto"/>
          </w:divBdr>
        </w:div>
        <w:div w:id="61410976">
          <w:marLeft w:val="0"/>
          <w:marRight w:val="0"/>
          <w:marTop w:val="0"/>
          <w:marBottom w:val="0"/>
          <w:divBdr>
            <w:top w:val="none" w:sz="0" w:space="0" w:color="auto"/>
            <w:left w:val="none" w:sz="0" w:space="0" w:color="auto"/>
            <w:bottom w:val="none" w:sz="0" w:space="0" w:color="auto"/>
            <w:right w:val="none" w:sz="0" w:space="0" w:color="auto"/>
          </w:divBdr>
        </w:div>
        <w:div w:id="1809400416">
          <w:marLeft w:val="0"/>
          <w:marRight w:val="0"/>
          <w:marTop w:val="0"/>
          <w:marBottom w:val="0"/>
          <w:divBdr>
            <w:top w:val="none" w:sz="0" w:space="0" w:color="auto"/>
            <w:left w:val="none" w:sz="0" w:space="0" w:color="auto"/>
            <w:bottom w:val="none" w:sz="0" w:space="0" w:color="auto"/>
            <w:right w:val="none" w:sz="0" w:space="0" w:color="auto"/>
          </w:divBdr>
        </w:div>
        <w:div w:id="1843156218">
          <w:marLeft w:val="0"/>
          <w:marRight w:val="0"/>
          <w:marTop w:val="0"/>
          <w:marBottom w:val="0"/>
          <w:divBdr>
            <w:top w:val="none" w:sz="0" w:space="0" w:color="auto"/>
            <w:left w:val="none" w:sz="0" w:space="0" w:color="auto"/>
            <w:bottom w:val="none" w:sz="0" w:space="0" w:color="auto"/>
            <w:right w:val="none" w:sz="0" w:space="0" w:color="auto"/>
          </w:divBdr>
        </w:div>
        <w:div w:id="903225913">
          <w:marLeft w:val="0"/>
          <w:marRight w:val="0"/>
          <w:marTop w:val="0"/>
          <w:marBottom w:val="0"/>
          <w:divBdr>
            <w:top w:val="none" w:sz="0" w:space="0" w:color="auto"/>
            <w:left w:val="none" w:sz="0" w:space="0" w:color="auto"/>
            <w:bottom w:val="none" w:sz="0" w:space="0" w:color="auto"/>
            <w:right w:val="none" w:sz="0" w:space="0" w:color="auto"/>
          </w:divBdr>
        </w:div>
        <w:div w:id="299767594">
          <w:marLeft w:val="0"/>
          <w:marRight w:val="0"/>
          <w:marTop w:val="0"/>
          <w:marBottom w:val="0"/>
          <w:divBdr>
            <w:top w:val="none" w:sz="0" w:space="0" w:color="auto"/>
            <w:left w:val="none" w:sz="0" w:space="0" w:color="auto"/>
            <w:bottom w:val="none" w:sz="0" w:space="0" w:color="auto"/>
            <w:right w:val="none" w:sz="0" w:space="0" w:color="auto"/>
          </w:divBdr>
        </w:div>
        <w:div w:id="744187096">
          <w:marLeft w:val="0"/>
          <w:marRight w:val="0"/>
          <w:marTop w:val="0"/>
          <w:marBottom w:val="0"/>
          <w:divBdr>
            <w:top w:val="none" w:sz="0" w:space="0" w:color="auto"/>
            <w:left w:val="none" w:sz="0" w:space="0" w:color="auto"/>
            <w:bottom w:val="none" w:sz="0" w:space="0" w:color="auto"/>
            <w:right w:val="none" w:sz="0" w:space="0" w:color="auto"/>
          </w:divBdr>
        </w:div>
        <w:div w:id="1650750363">
          <w:marLeft w:val="0"/>
          <w:marRight w:val="0"/>
          <w:marTop w:val="0"/>
          <w:marBottom w:val="0"/>
          <w:divBdr>
            <w:top w:val="none" w:sz="0" w:space="0" w:color="auto"/>
            <w:left w:val="none" w:sz="0" w:space="0" w:color="auto"/>
            <w:bottom w:val="none" w:sz="0" w:space="0" w:color="auto"/>
            <w:right w:val="none" w:sz="0" w:space="0" w:color="auto"/>
          </w:divBdr>
        </w:div>
        <w:div w:id="848329391">
          <w:marLeft w:val="0"/>
          <w:marRight w:val="0"/>
          <w:marTop w:val="0"/>
          <w:marBottom w:val="0"/>
          <w:divBdr>
            <w:top w:val="none" w:sz="0" w:space="0" w:color="auto"/>
            <w:left w:val="none" w:sz="0" w:space="0" w:color="auto"/>
            <w:bottom w:val="none" w:sz="0" w:space="0" w:color="auto"/>
            <w:right w:val="none" w:sz="0" w:space="0" w:color="auto"/>
          </w:divBdr>
        </w:div>
        <w:div w:id="965351167">
          <w:marLeft w:val="0"/>
          <w:marRight w:val="0"/>
          <w:marTop w:val="0"/>
          <w:marBottom w:val="0"/>
          <w:divBdr>
            <w:top w:val="none" w:sz="0" w:space="0" w:color="auto"/>
            <w:left w:val="none" w:sz="0" w:space="0" w:color="auto"/>
            <w:bottom w:val="none" w:sz="0" w:space="0" w:color="auto"/>
            <w:right w:val="none" w:sz="0" w:space="0" w:color="auto"/>
          </w:divBdr>
        </w:div>
        <w:div w:id="1322393155">
          <w:marLeft w:val="0"/>
          <w:marRight w:val="0"/>
          <w:marTop w:val="0"/>
          <w:marBottom w:val="0"/>
          <w:divBdr>
            <w:top w:val="none" w:sz="0" w:space="0" w:color="auto"/>
            <w:left w:val="none" w:sz="0" w:space="0" w:color="auto"/>
            <w:bottom w:val="none" w:sz="0" w:space="0" w:color="auto"/>
            <w:right w:val="none" w:sz="0" w:space="0" w:color="auto"/>
          </w:divBdr>
        </w:div>
        <w:div w:id="1873835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FD9D8-CE90-45B8-8190-696906F9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1464</Words>
  <Characters>8347</Characters>
  <Application>Microsoft Office Word</Application>
  <DocSecurity>0</DocSecurity>
  <Lines>69</Lines>
  <Paragraphs>19</Paragraphs>
  <ScaleCrop>false</ScaleCrop>
  <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Maheep</dc:creator>
  <cp:lastModifiedBy>Maheep</cp:lastModifiedBy>
  <cp:revision>5</cp:revision>
  <dcterms:created xsi:type="dcterms:W3CDTF">2023-11-30T07:37:00Z</dcterms:created>
  <dcterms:modified xsi:type="dcterms:W3CDTF">2023-11-30T07:43:00Z</dcterms:modified>
</cp:coreProperties>
</file>