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7A0ECD" w:rsidRPr="007A0ECD" w14:paraId="64E1979C" w14:textId="77777777">
        <w:trPr>
          <w:jc w:val="center"/>
        </w:trPr>
        <w:tc>
          <w:tcPr>
            <w:tcW w:w="0" w:type="auto"/>
            <w:shd w:val="clear" w:color="auto" w:fill="FFFFFF"/>
            <w:vAlign w:val="center"/>
            <w:hideMark/>
          </w:tcPr>
          <w:p w14:paraId="32B1AA5E" w14:textId="77777777" w:rsidR="007A0ECD" w:rsidRPr="007A0ECD" w:rsidRDefault="007A0ECD" w:rsidP="007A0ECD"/>
        </w:tc>
      </w:tr>
      <w:tr w:rsidR="007A0ECD" w:rsidRPr="007A0ECD" w14:paraId="60822A0A" w14:textId="77777777">
        <w:trPr>
          <w:jc w:val="center"/>
        </w:trPr>
        <w:tc>
          <w:tcPr>
            <w:tcW w:w="0" w:type="auto"/>
            <w:shd w:val="clear" w:color="auto" w:fill="FFFFFF"/>
            <w:vAlign w:val="center"/>
            <w:hideMark/>
          </w:tcPr>
          <w:p w14:paraId="3D82361B" w14:textId="39431352" w:rsidR="007A0ECD" w:rsidRPr="007A0ECD" w:rsidRDefault="007A0ECD" w:rsidP="007A0ECD"/>
          <w:p w14:paraId="47627C01" w14:textId="77777777" w:rsidR="007A0ECD" w:rsidRPr="007A0ECD" w:rsidRDefault="007A0ECD" w:rsidP="007A0ECD">
            <w:r w:rsidRPr="007A0ECD">
              <w:rPr>
                <w:b/>
                <w:bCs/>
              </w:rPr>
              <w:t>Date: ----------------</w:t>
            </w:r>
          </w:p>
          <w:p w14:paraId="283C162B" w14:textId="77777777" w:rsidR="007A0ECD" w:rsidRPr="007A0ECD" w:rsidRDefault="007A0ECD" w:rsidP="007A0ECD">
            <w:r w:rsidRPr="007A0ECD">
              <w:rPr>
                <w:b/>
                <w:bCs/>
              </w:rPr>
              <w:t>To</w:t>
            </w:r>
            <w:r w:rsidRPr="007A0ECD">
              <w:br/>
            </w:r>
            <w:r w:rsidRPr="007A0ECD">
              <w:rPr>
                <w:b/>
                <w:bCs/>
              </w:rPr>
              <w:t>State Tax Officer</w:t>
            </w:r>
            <w:r w:rsidRPr="007A0ECD">
              <w:br/>
            </w:r>
            <w:r w:rsidRPr="007A0ECD">
              <w:rPr>
                <w:b/>
                <w:bCs/>
              </w:rPr>
              <w:t>------------- Circle 01</w:t>
            </w:r>
          </w:p>
          <w:p w14:paraId="242B475D" w14:textId="77777777" w:rsidR="007A0ECD" w:rsidRPr="007A0ECD" w:rsidRDefault="007A0ECD" w:rsidP="007A0ECD">
            <w:r w:rsidRPr="007A0ECD">
              <w:rPr>
                <w:b/>
                <w:bCs/>
              </w:rPr>
              <w:t>Subject: Response to Show Cause Notice ASMT-10 and DRC-01 Dated 29/04/2024</w:t>
            </w:r>
          </w:p>
          <w:p w14:paraId="2B5D8929" w14:textId="77777777" w:rsidR="007A0ECD" w:rsidRPr="007A0ECD" w:rsidRDefault="007A0ECD" w:rsidP="007A0ECD">
            <w:r w:rsidRPr="007A0ECD">
              <w:t>Dear Sir,</w:t>
            </w:r>
          </w:p>
          <w:p w14:paraId="3E63C396" w14:textId="7E6E24C5" w:rsidR="007A0ECD" w:rsidRPr="007A0ECD" w:rsidRDefault="007A0ECD" w:rsidP="007A0ECD">
            <w:r w:rsidRPr="007A0ECD">
              <w:t>We are writing in response to the show cause notice </w:t>
            </w:r>
            <w:r w:rsidRPr="007A0ECD">
              <w:rPr>
                <w:b/>
                <w:bCs/>
              </w:rPr>
              <w:t>ASMT-10</w:t>
            </w:r>
            <w:r w:rsidRPr="007A0ECD">
              <w:t> dated 29/04/2024, and the subsequent issuance of </w:t>
            </w:r>
            <w:r w:rsidRPr="007A0ECD">
              <w:rPr>
                <w:b/>
                <w:bCs/>
              </w:rPr>
              <w:t>DRC-01</w:t>
            </w:r>
            <w:r w:rsidRPr="007A0ECD">
              <w:t>, charging Rs. ----------- as interest under </w:t>
            </w:r>
            <w:r w:rsidRPr="007A0ECD">
              <w:rPr>
                <w:b/>
                <w:bCs/>
              </w:rPr>
              <w:t>Section 50</w:t>
            </w:r>
            <w:r w:rsidRPr="007A0ECD">
              <w:t> and Rs. -------------------- as penalty under </w:t>
            </w:r>
            <w:r w:rsidRPr="007A0ECD">
              <w:rPr>
                <w:b/>
                <w:bCs/>
              </w:rPr>
              <w:t>Section 74</w:t>
            </w:r>
            <w:r w:rsidRPr="007A0ECD">
              <w:t> of the CGST Act.</w:t>
            </w:r>
          </w:p>
          <w:p w14:paraId="1453153B" w14:textId="1D269C03" w:rsidR="007A0ECD" w:rsidRPr="007A0ECD" w:rsidRDefault="007A0ECD" w:rsidP="007A0ECD">
            <w:r w:rsidRPr="007A0ECD">
              <w:t>We acknowledge that we have transitioned from a non-composition dealer to a composition dealer from December 2017. It is understood that according to CGST </w:t>
            </w:r>
            <w:r w:rsidRPr="007A0ECD">
              <w:rPr>
                <w:b/>
                <w:bCs/>
              </w:rPr>
              <w:t>Rule 44</w:t>
            </w:r>
            <w:r w:rsidRPr="007A0ECD">
              <w:t>, ITC available up to the date of transition should be reversed. The amounts identified for reversal in the show cause notice are:</w:t>
            </w:r>
          </w:p>
          <w:p w14:paraId="526233B3" w14:textId="77777777" w:rsidR="007A0ECD" w:rsidRPr="007A0ECD" w:rsidRDefault="007A0ECD" w:rsidP="007A0ECD">
            <w:pPr>
              <w:numPr>
                <w:ilvl w:val="0"/>
                <w:numId w:val="1"/>
              </w:numPr>
            </w:pPr>
            <w:r w:rsidRPr="007A0ECD">
              <w:t>IGST: ₹--------------- </w:t>
            </w:r>
          </w:p>
          <w:p w14:paraId="1C664DDE" w14:textId="77777777" w:rsidR="007A0ECD" w:rsidRPr="007A0ECD" w:rsidRDefault="007A0ECD" w:rsidP="007A0ECD">
            <w:pPr>
              <w:numPr>
                <w:ilvl w:val="0"/>
                <w:numId w:val="1"/>
              </w:numPr>
            </w:pPr>
            <w:r w:rsidRPr="007A0ECD">
              <w:t>CGST: ₹-------------- </w:t>
            </w:r>
          </w:p>
          <w:p w14:paraId="1BC61072" w14:textId="77777777" w:rsidR="007A0ECD" w:rsidRPr="007A0ECD" w:rsidRDefault="007A0ECD" w:rsidP="007A0ECD">
            <w:pPr>
              <w:numPr>
                <w:ilvl w:val="0"/>
                <w:numId w:val="1"/>
              </w:numPr>
            </w:pPr>
            <w:r w:rsidRPr="007A0ECD">
              <w:t>SGST: ₹-------------- </w:t>
            </w:r>
          </w:p>
          <w:p w14:paraId="1871B43E" w14:textId="26E7B506" w:rsidR="007A0ECD" w:rsidRPr="007A0ECD" w:rsidRDefault="007A0ECD" w:rsidP="007A0ECD">
            <w:r w:rsidRPr="007A0ECD">
              <w:t>We recognize our oversight in not reversing the ITC at the time of the transition. The reversal process is currently being undertaken, and the amounts specified are being adjusted in compliance with </w:t>
            </w:r>
            <w:r w:rsidRPr="007A0ECD">
              <w:rPr>
                <w:b/>
                <w:bCs/>
              </w:rPr>
              <w:t>Rule 44</w:t>
            </w:r>
            <w:r w:rsidRPr="007A0ECD">
              <w:t>.</w:t>
            </w:r>
          </w:p>
          <w:p w14:paraId="5D1C654B" w14:textId="545125F9" w:rsidR="007A0ECD" w:rsidRPr="007A0ECD" w:rsidRDefault="007A0ECD" w:rsidP="007A0ECD">
            <w:r w:rsidRPr="007A0ECD">
              <w:rPr>
                <w:b/>
                <w:bCs/>
              </w:rPr>
              <w:t>Argument Against Interest Under Section 50:</w:t>
            </w:r>
          </w:p>
          <w:p w14:paraId="2566E5FC" w14:textId="23BB43E8" w:rsidR="007A0ECD" w:rsidRPr="007A0ECD" w:rsidRDefault="007A0ECD" w:rsidP="007A0ECD">
            <w:r w:rsidRPr="007A0ECD">
              <w:t>Interest under </w:t>
            </w:r>
            <w:r w:rsidRPr="007A0ECD">
              <w:rPr>
                <w:b/>
                <w:bCs/>
              </w:rPr>
              <w:t>Section 50</w:t>
            </w:r>
            <w:r w:rsidRPr="007A0ECD">
              <w:t> of the CGST Act is generally applicable on the amount of tax unpaid. In our case, the requirement is to reverse ITC rather than a failure to pay tax due. The credits in question did not represent a liability for unpaid tax but were credits carried over during the transition. Therefore:</w:t>
            </w:r>
          </w:p>
          <w:p w14:paraId="7791B20F" w14:textId="77777777" w:rsidR="007A0ECD" w:rsidRPr="007A0ECD" w:rsidRDefault="007A0ECD" w:rsidP="007A0ECD">
            <w:pPr>
              <w:numPr>
                <w:ilvl w:val="0"/>
                <w:numId w:val="2"/>
              </w:numPr>
            </w:pPr>
            <w:r w:rsidRPr="007A0ECD">
              <w:rPr>
                <w:b/>
                <w:bCs/>
              </w:rPr>
              <w:t>The reversal of ITC does not equate to a default in tax payment.</w:t>
            </w:r>
            <w:r w:rsidRPr="007A0ECD">
              <w:t> </w:t>
            </w:r>
          </w:p>
          <w:p w14:paraId="2B68EE86" w14:textId="77777777" w:rsidR="007A0ECD" w:rsidRPr="007A0ECD" w:rsidRDefault="007A0ECD" w:rsidP="007A0ECD">
            <w:pPr>
              <w:numPr>
                <w:ilvl w:val="0"/>
                <w:numId w:val="2"/>
              </w:numPr>
            </w:pPr>
            <w:r w:rsidRPr="007A0ECD">
              <w:rPr>
                <w:b/>
                <w:bCs/>
              </w:rPr>
              <w:t>No actual tax was due or unpaid during the period; hence, the imposition of interest is not justified.</w:t>
            </w:r>
          </w:p>
          <w:p w14:paraId="739354EE" w14:textId="2B6DD0F3" w:rsidR="007A0ECD" w:rsidRPr="007A0ECD" w:rsidRDefault="007A0ECD" w:rsidP="007A0ECD">
            <w:r w:rsidRPr="007A0ECD">
              <w:rPr>
                <w:b/>
                <w:bCs/>
              </w:rPr>
              <w:t>Argument Against Penalty Under Section 74:</w:t>
            </w:r>
          </w:p>
          <w:p w14:paraId="762E2EE3" w14:textId="55131887" w:rsidR="007A0ECD" w:rsidRPr="007A0ECD" w:rsidRDefault="007A0ECD" w:rsidP="007A0ECD">
            <w:r w:rsidRPr="007A0ECD">
              <w:t>Penalties under </w:t>
            </w:r>
            <w:r w:rsidRPr="007A0ECD">
              <w:rPr>
                <w:b/>
                <w:bCs/>
              </w:rPr>
              <w:t>Section 74</w:t>
            </w:r>
            <w:r w:rsidRPr="007A0ECD">
              <w:t> are applicable in cases involving fraud, willful misstatement, or suppression of facts with the intent to evade tax. In this instance:</w:t>
            </w:r>
          </w:p>
          <w:p w14:paraId="64C9A131" w14:textId="77777777" w:rsidR="007A0ECD" w:rsidRPr="007A0ECD" w:rsidRDefault="007A0ECD" w:rsidP="007A0ECD">
            <w:pPr>
              <w:numPr>
                <w:ilvl w:val="0"/>
                <w:numId w:val="3"/>
              </w:numPr>
            </w:pPr>
            <w:r w:rsidRPr="007A0ECD">
              <w:rPr>
                <w:b/>
                <w:bCs/>
              </w:rPr>
              <w:t>There was no intent to evade tax, and the discrepancy arose from a procedural oversight.</w:t>
            </w:r>
          </w:p>
          <w:p w14:paraId="2639AFD7" w14:textId="77777777" w:rsidR="007A0ECD" w:rsidRPr="007A0ECD" w:rsidRDefault="007A0ECD" w:rsidP="007A0ECD">
            <w:pPr>
              <w:numPr>
                <w:ilvl w:val="0"/>
                <w:numId w:val="3"/>
              </w:numPr>
            </w:pPr>
            <w:r w:rsidRPr="007A0ECD">
              <w:rPr>
                <w:b/>
                <w:bCs/>
              </w:rPr>
              <w:lastRenderedPageBreak/>
              <w:t>We voluntarily acknowledge the need for ITC reversal and are taking steps to rectify the situation without any concealment or fraud.</w:t>
            </w:r>
            <w:r w:rsidRPr="007A0ECD">
              <w:t> </w:t>
            </w:r>
          </w:p>
          <w:p w14:paraId="0E1B992F" w14:textId="2998F496" w:rsidR="007A0ECD" w:rsidRPr="007A0ECD" w:rsidRDefault="007A0ECD" w:rsidP="007A0ECD">
            <w:r w:rsidRPr="007A0ECD">
              <w:t>Therefore, the imposition of a penalty under </w:t>
            </w:r>
            <w:r w:rsidRPr="007A0ECD">
              <w:rPr>
                <w:b/>
                <w:bCs/>
              </w:rPr>
              <w:t>Section 74</w:t>
            </w:r>
            <w:r w:rsidRPr="007A0ECD">
              <w:t> is not warranted given the absence of any fraudulent intent or misstatement.</w:t>
            </w:r>
          </w:p>
          <w:p w14:paraId="53D05DE4" w14:textId="77777777" w:rsidR="007A0ECD" w:rsidRPr="007A0ECD" w:rsidRDefault="007A0ECD" w:rsidP="007A0ECD">
            <w:r w:rsidRPr="007A0ECD">
              <w:t>In light of the above, we respectfully request the following:</w:t>
            </w:r>
          </w:p>
          <w:p w14:paraId="7BAEC80B" w14:textId="3025A46A" w:rsidR="007A0ECD" w:rsidRPr="007A0ECD" w:rsidRDefault="007A0ECD" w:rsidP="007A0ECD">
            <w:pPr>
              <w:numPr>
                <w:ilvl w:val="0"/>
                <w:numId w:val="4"/>
              </w:numPr>
            </w:pPr>
            <w:r w:rsidRPr="007A0ECD">
              <w:rPr>
                <w:b/>
                <w:bCs/>
              </w:rPr>
              <w:t>Waiver of the interest charge of Rs. ---------- under Section 50,</w:t>
            </w:r>
            <w:r w:rsidRPr="007A0ECD">
              <w:t> as no tax liability was unpaid and the reversal does not constitute a delay in tax payment. </w:t>
            </w:r>
          </w:p>
          <w:p w14:paraId="7B3D547D" w14:textId="5260DFBE" w:rsidR="007A0ECD" w:rsidRPr="007A0ECD" w:rsidRDefault="007A0ECD" w:rsidP="007A0ECD">
            <w:pPr>
              <w:numPr>
                <w:ilvl w:val="0"/>
                <w:numId w:val="4"/>
              </w:numPr>
            </w:pPr>
            <w:r w:rsidRPr="007A0ECD">
              <w:rPr>
                <w:b/>
                <w:bCs/>
              </w:rPr>
              <w:t>Waiver of the penalty of Rs. ----------- under Section 74,</w:t>
            </w:r>
            <w:r w:rsidRPr="007A0ECD">
              <w:t> as there was no intent to evade tax or fraud involved. </w:t>
            </w:r>
          </w:p>
          <w:p w14:paraId="7ADF4168" w14:textId="77777777" w:rsidR="007A0ECD" w:rsidRPr="007A0ECD" w:rsidRDefault="007A0ECD" w:rsidP="007A0ECD">
            <w:r w:rsidRPr="007A0ECD">
              <w:t>We trust that this response clarifies our position and the steps we are taking to address the discrepancy. We are committed to complying with all applicable regulations and assure you of our full cooperation.</w:t>
            </w:r>
          </w:p>
          <w:p w14:paraId="61DD38AD" w14:textId="77777777" w:rsidR="007A0ECD" w:rsidRPr="007A0ECD" w:rsidRDefault="007A0ECD" w:rsidP="007A0ECD">
            <w:r w:rsidRPr="007A0ECD">
              <w:t>Enclosed are the documents supporting the ITC reversal and the steps taken so far. We are available for any further discussions or clarifications as needed.</w:t>
            </w:r>
          </w:p>
          <w:p w14:paraId="7ED43576" w14:textId="77777777" w:rsidR="007A0ECD" w:rsidRPr="007A0ECD" w:rsidRDefault="007A0ECD" w:rsidP="007A0ECD">
            <w:r w:rsidRPr="007A0ECD">
              <w:t>Thank you for your understanding and consideration.</w:t>
            </w:r>
          </w:p>
          <w:p w14:paraId="2E13F04C" w14:textId="77777777" w:rsidR="007A0ECD" w:rsidRPr="007A0ECD" w:rsidRDefault="007A0ECD" w:rsidP="007A0ECD">
            <w:r w:rsidRPr="007A0ECD">
              <w:t>Yours sincerely,</w:t>
            </w:r>
          </w:p>
          <w:p w14:paraId="4DF653F9" w14:textId="77777777" w:rsidR="007A0ECD" w:rsidRPr="007A0ECD" w:rsidRDefault="007A0ECD" w:rsidP="007A0ECD">
            <w:r w:rsidRPr="007A0ECD">
              <w:rPr>
                <w:b/>
                <w:bCs/>
              </w:rPr>
              <w:t>ABC LTD.</w:t>
            </w:r>
          </w:p>
          <w:p w14:paraId="7E00526B" w14:textId="77777777" w:rsidR="007A0ECD" w:rsidRPr="007A0ECD" w:rsidRDefault="007A0ECD" w:rsidP="007A0ECD">
            <w:r w:rsidRPr="007A0ECD">
              <w:rPr>
                <w:b/>
                <w:bCs/>
              </w:rPr>
              <w:t>Enclosures:</w:t>
            </w:r>
          </w:p>
          <w:p w14:paraId="6D66C057" w14:textId="77777777" w:rsidR="007A0ECD" w:rsidRPr="007A0ECD" w:rsidRDefault="007A0ECD" w:rsidP="007A0ECD">
            <w:pPr>
              <w:numPr>
                <w:ilvl w:val="0"/>
                <w:numId w:val="5"/>
              </w:numPr>
            </w:pPr>
            <w:r w:rsidRPr="007A0ECD">
              <w:t>Detailed ITC Reversal Computation </w:t>
            </w:r>
          </w:p>
          <w:p w14:paraId="19EDB1FC" w14:textId="77777777" w:rsidR="007A0ECD" w:rsidRPr="007A0ECD" w:rsidRDefault="007A0ECD" w:rsidP="007A0ECD">
            <w:pPr>
              <w:numPr>
                <w:ilvl w:val="0"/>
                <w:numId w:val="5"/>
              </w:numPr>
            </w:pPr>
            <w:r w:rsidRPr="007A0ECD">
              <w:t>Proof of Initiated ITC Reversal </w:t>
            </w:r>
          </w:p>
          <w:p w14:paraId="4ED1C512" w14:textId="77777777" w:rsidR="007A0ECD" w:rsidRPr="007A0ECD" w:rsidRDefault="007A0ECD" w:rsidP="007A0ECD">
            <w:pPr>
              <w:numPr>
                <w:ilvl w:val="0"/>
                <w:numId w:val="5"/>
              </w:numPr>
            </w:pPr>
            <w:r w:rsidRPr="007A0ECD">
              <w:t>Supporting Documentation for Compliance</w:t>
            </w:r>
          </w:p>
        </w:tc>
      </w:tr>
    </w:tbl>
    <w:p w14:paraId="233AD2F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79C1"/>
    <w:multiLevelType w:val="multilevel"/>
    <w:tmpl w:val="791E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418B1"/>
    <w:multiLevelType w:val="multilevel"/>
    <w:tmpl w:val="D9B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831805"/>
    <w:multiLevelType w:val="multilevel"/>
    <w:tmpl w:val="3AC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B0729C"/>
    <w:multiLevelType w:val="multilevel"/>
    <w:tmpl w:val="33F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F63871"/>
    <w:multiLevelType w:val="multilevel"/>
    <w:tmpl w:val="E69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4304290">
    <w:abstractNumId w:val="1"/>
  </w:num>
  <w:num w:numId="2" w16cid:durableId="1163084049">
    <w:abstractNumId w:val="2"/>
  </w:num>
  <w:num w:numId="3" w16cid:durableId="1005011653">
    <w:abstractNumId w:val="4"/>
  </w:num>
  <w:num w:numId="4" w16cid:durableId="1287587236">
    <w:abstractNumId w:val="3"/>
  </w:num>
  <w:num w:numId="5" w16cid:durableId="145007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CD"/>
    <w:rsid w:val="00031CAE"/>
    <w:rsid w:val="0017192C"/>
    <w:rsid w:val="00447B58"/>
    <w:rsid w:val="005237F3"/>
    <w:rsid w:val="007A0EC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BBA6"/>
  <w15:chartTrackingRefBased/>
  <w15:docId w15:val="{E214EDAB-945D-4CE8-BE48-A3E44FEB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E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ECD"/>
    <w:rPr>
      <w:rFonts w:eastAsiaTheme="majorEastAsia" w:cstheme="majorBidi"/>
      <w:color w:val="272727" w:themeColor="text1" w:themeTint="D8"/>
    </w:rPr>
  </w:style>
  <w:style w:type="paragraph" w:styleId="Title">
    <w:name w:val="Title"/>
    <w:basedOn w:val="Normal"/>
    <w:next w:val="Normal"/>
    <w:link w:val="TitleChar"/>
    <w:uiPriority w:val="10"/>
    <w:qFormat/>
    <w:rsid w:val="007A0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ECD"/>
    <w:pPr>
      <w:spacing w:before="160"/>
      <w:jc w:val="center"/>
    </w:pPr>
    <w:rPr>
      <w:i/>
      <w:iCs/>
      <w:color w:val="404040" w:themeColor="text1" w:themeTint="BF"/>
    </w:rPr>
  </w:style>
  <w:style w:type="character" w:customStyle="1" w:styleId="QuoteChar">
    <w:name w:val="Quote Char"/>
    <w:basedOn w:val="DefaultParagraphFont"/>
    <w:link w:val="Quote"/>
    <w:uiPriority w:val="29"/>
    <w:rsid w:val="007A0ECD"/>
    <w:rPr>
      <w:i/>
      <w:iCs/>
      <w:color w:val="404040" w:themeColor="text1" w:themeTint="BF"/>
    </w:rPr>
  </w:style>
  <w:style w:type="paragraph" w:styleId="ListParagraph">
    <w:name w:val="List Paragraph"/>
    <w:basedOn w:val="Normal"/>
    <w:uiPriority w:val="34"/>
    <w:qFormat/>
    <w:rsid w:val="007A0ECD"/>
    <w:pPr>
      <w:ind w:left="720"/>
      <w:contextualSpacing/>
    </w:pPr>
  </w:style>
  <w:style w:type="character" w:styleId="IntenseEmphasis">
    <w:name w:val="Intense Emphasis"/>
    <w:basedOn w:val="DefaultParagraphFont"/>
    <w:uiPriority w:val="21"/>
    <w:qFormat/>
    <w:rsid w:val="007A0ECD"/>
    <w:rPr>
      <w:i/>
      <w:iCs/>
      <w:color w:val="2F5496" w:themeColor="accent1" w:themeShade="BF"/>
    </w:rPr>
  </w:style>
  <w:style w:type="paragraph" w:styleId="IntenseQuote">
    <w:name w:val="Intense Quote"/>
    <w:basedOn w:val="Normal"/>
    <w:next w:val="Normal"/>
    <w:link w:val="IntenseQuoteChar"/>
    <w:uiPriority w:val="30"/>
    <w:qFormat/>
    <w:rsid w:val="007A0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ECD"/>
    <w:rPr>
      <w:i/>
      <w:iCs/>
      <w:color w:val="2F5496" w:themeColor="accent1" w:themeShade="BF"/>
    </w:rPr>
  </w:style>
  <w:style w:type="character" w:styleId="IntenseReference">
    <w:name w:val="Intense Reference"/>
    <w:basedOn w:val="DefaultParagraphFont"/>
    <w:uiPriority w:val="32"/>
    <w:qFormat/>
    <w:rsid w:val="007A0ECD"/>
    <w:rPr>
      <w:b/>
      <w:bCs/>
      <w:smallCaps/>
      <w:color w:val="2F5496" w:themeColor="accent1" w:themeShade="BF"/>
      <w:spacing w:val="5"/>
    </w:rPr>
  </w:style>
  <w:style w:type="character" w:styleId="Hyperlink">
    <w:name w:val="Hyperlink"/>
    <w:basedOn w:val="DefaultParagraphFont"/>
    <w:uiPriority w:val="99"/>
    <w:unhideWhenUsed/>
    <w:rsid w:val="007A0ECD"/>
    <w:rPr>
      <w:color w:val="0563C1" w:themeColor="hyperlink"/>
      <w:u w:val="single"/>
    </w:rPr>
  </w:style>
  <w:style w:type="character" w:styleId="UnresolvedMention">
    <w:name w:val="Unresolved Mention"/>
    <w:basedOn w:val="DefaultParagraphFont"/>
    <w:uiPriority w:val="99"/>
    <w:semiHidden/>
    <w:unhideWhenUsed/>
    <w:rsid w:val="007A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2025-10-25T05:40:00Z</dcterms:created>
  <dcterms:modified xsi:type="dcterms:W3CDTF">2025-10-25T05:42:00Z</dcterms:modified>
</cp:coreProperties>
</file>