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CDAE" w14:textId="77777777" w:rsidR="00CA6059" w:rsidRPr="00CA6059" w:rsidRDefault="00CA6059" w:rsidP="00CA6059">
      <w:r w:rsidRPr="00CA6059">
        <w:rPr>
          <w:b/>
          <w:bCs/>
        </w:rPr>
        <w:t>To,</w:t>
      </w:r>
    </w:p>
    <w:p w14:paraId="3E267842" w14:textId="77777777" w:rsidR="00CA6059" w:rsidRPr="00CA6059" w:rsidRDefault="00CA6059" w:rsidP="00CA6059">
      <w:r w:rsidRPr="00CA6059">
        <w:t>The State Tax Officer (FAC),</w:t>
      </w:r>
    </w:p>
    <w:p w14:paraId="64E052F7" w14:textId="77777777" w:rsidR="00CA6059" w:rsidRPr="00CA6059" w:rsidRDefault="00CA6059" w:rsidP="00CA6059">
      <w:r w:rsidRPr="00CA6059">
        <w:t>-----------------------</w:t>
      </w:r>
    </w:p>
    <w:p w14:paraId="0CDBC984" w14:textId="77777777" w:rsidR="00CA6059" w:rsidRPr="00CA6059" w:rsidRDefault="00CA6059" w:rsidP="00CA6059">
      <w:r w:rsidRPr="00CA6059">
        <w:t>-----------------------</w:t>
      </w:r>
    </w:p>
    <w:p w14:paraId="66CE8320" w14:textId="77777777" w:rsidR="00CA6059" w:rsidRPr="00CA6059" w:rsidRDefault="00CA6059" w:rsidP="00CA6059">
      <w:r w:rsidRPr="00CA6059">
        <w:t>-----------------------</w:t>
      </w:r>
    </w:p>
    <w:p w14:paraId="1B8948FB" w14:textId="77777777" w:rsidR="00CA6059" w:rsidRPr="00CA6059" w:rsidRDefault="00CA6059" w:rsidP="00CA6059">
      <w:r w:rsidRPr="00CA6059">
        <w:rPr>
          <w:b/>
          <w:bCs/>
        </w:rPr>
        <w:t>Subject:</w:t>
      </w:r>
      <w:r w:rsidRPr="00CA6059">
        <w:t> Reply to Show Cause Notice under Section 74 of the CGST Act, 2017 – Difference in ITC Claimed</w:t>
      </w:r>
      <w:r w:rsidRPr="00CA6059">
        <w:br/>
      </w:r>
      <w:r w:rsidRPr="00CA6059">
        <w:rPr>
          <w:b/>
          <w:bCs/>
        </w:rPr>
        <w:t>Respected Sir,</w:t>
      </w:r>
    </w:p>
    <w:p w14:paraId="7CC17D4D" w14:textId="3DC05134" w:rsidR="00CA6059" w:rsidRPr="00CA6059" w:rsidRDefault="00CA6059" w:rsidP="00CA6059">
      <w:r w:rsidRPr="00CA6059">
        <w:t>We in response to the </w:t>
      </w:r>
      <w:r w:rsidRPr="00CA6059">
        <w:rPr>
          <w:b/>
          <w:bCs/>
        </w:rPr>
        <w:t>Show Cause Notice (SCN) issued under Section 74</w:t>
      </w:r>
      <w:r w:rsidRPr="00CA6059">
        <w:t> of the </w:t>
      </w:r>
      <w:r w:rsidRPr="00CA6059">
        <w:rPr>
          <w:b/>
          <w:bCs/>
        </w:rPr>
        <w:t>CGST Act, 2017</w:t>
      </w:r>
      <w:r w:rsidRPr="00CA6059">
        <w:t>, dated </w:t>
      </w:r>
      <w:r w:rsidRPr="00CA6059">
        <w:rPr>
          <w:b/>
          <w:bCs/>
        </w:rPr>
        <w:t>10/03/2025</w:t>
      </w:r>
      <w:r w:rsidRPr="00CA6059">
        <w:t>, regarding the </w:t>
      </w:r>
      <w:r w:rsidRPr="00CA6059">
        <w:rPr>
          <w:b/>
          <w:bCs/>
        </w:rPr>
        <w:t>difference in Input Tax Credit (ITC)</w:t>
      </w:r>
      <w:r w:rsidRPr="00CA6059">
        <w:t> as reported in </w:t>
      </w:r>
      <w:r w:rsidRPr="00CA6059">
        <w:rPr>
          <w:b/>
          <w:bCs/>
        </w:rPr>
        <w:t>GSTR-2A</w:t>
      </w:r>
      <w:r w:rsidRPr="00CA6059">
        <w:t> and </w:t>
      </w:r>
      <w:r w:rsidRPr="00CA6059">
        <w:rPr>
          <w:b/>
          <w:bCs/>
        </w:rPr>
        <w:t>GSTR-3B</w:t>
      </w:r>
      <w:r w:rsidRPr="00CA6059">
        <w:t> for the financial year </w:t>
      </w:r>
      <w:r w:rsidRPr="00CA6059">
        <w:rPr>
          <w:b/>
          <w:bCs/>
        </w:rPr>
        <w:t>2020-21</w:t>
      </w:r>
      <w:r w:rsidRPr="00CA6059">
        <w:t>, would like to offer the following clarifications and justifications:</w:t>
      </w:r>
    </w:p>
    <w:p w14:paraId="25F0F50D" w14:textId="77777777" w:rsidR="00CA6059" w:rsidRPr="00CA6059" w:rsidRDefault="00CA6059" w:rsidP="00CA6059">
      <w:r w:rsidRPr="00CA6059">
        <w:rPr>
          <w:b/>
          <w:bCs/>
        </w:rPr>
        <w:t>1. Explanation for the Difference in ITC:</w:t>
      </w:r>
    </w:p>
    <w:p w14:paraId="27F5B3CA" w14:textId="7C60C18E" w:rsidR="00CA6059" w:rsidRPr="00CA6059" w:rsidRDefault="00CA6059" w:rsidP="00CA6059">
      <w:pPr>
        <w:numPr>
          <w:ilvl w:val="0"/>
          <w:numId w:val="1"/>
        </w:numPr>
      </w:pPr>
      <w:r w:rsidRPr="00CA6059">
        <w:t>It is acknowledged that there is a </w:t>
      </w:r>
      <w:r w:rsidRPr="00CA6059">
        <w:rPr>
          <w:b/>
          <w:bCs/>
        </w:rPr>
        <w:t>difference in the ITC claimed</w:t>
      </w:r>
      <w:r w:rsidRPr="00CA6059">
        <w:t> as per </w:t>
      </w:r>
      <w:r w:rsidRPr="00CA6059">
        <w:rPr>
          <w:b/>
          <w:bCs/>
        </w:rPr>
        <w:t>GSTR-2A</w:t>
      </w:r>
      <w:r w:rsidRPr="00CA6059">
        <w:t> and </w:t>
      </w:r>
      <w:r w:rsidRPr="00CA6059">
        <w:rPr>
          <w:b/>
          <w:bCs/>
        </w:rPr>
        <w:t>GSTR-3B</w:t>
      </w:r>
      <w:r w:rsidRPr="00CA6059">
        <w:t> for the period </w:t>
      </w:r>
      <w:r w:rsidRPr="00CA6059">
        <w:rPr>
          <w:b/>
          <w:bCs/>
        </w:rPr>
        <w:t>April 2020 to March 2021</w:t>
      </w:r>
      <w:r w:rsidRPr="00CA6059">
        <w:t>. The difference in </w:t>
      </w:r>
      <w:r w:rsidRPr="00CA6059">
        <w:rPr>
          <w:b/>
          <w:bCs/>
        </w:rPr>
        <w:t>CGST and SGST</w:t>
      </w:r>
      <w:r w:rsidRPr="00CA6059">
        <w:t> is </w:t>
      </w:r>
      <w:r w:rsidRPr="00CA6059">
        <w:rPr>
          <w:b/>
          <w:bCs/>
        </w:rPr>
        <w:t>Rs. _______</w:t>
      </w:r>
      <w:r w:rsidRPr="00CA6059">
        <w:t> each.</w:t>
      </w:r>
    </w:p>
    <w:p w14:paraId="17FF0B7A" w14:textId="319F812E" w:rsidR="00CA6059" w:rsidRPr="00CA6059" w:rsidRDefault="00CA6059" w:rsidP="00CA6059">
      <w:pPr>
        <w:numPr>
          <w:ilvl w:val="0"/>
          <w:numId w:val="1"/>
        </w:numPr>
      </w:pPr>
      <w:r w:rsidRPr="00CA6059">
        <w:t>The </w:t>
      </w:r>
      <w:r w:rsidRPr="00CA6059">
        <w:rPr>
          <w:b/>
          <w:bCs/>
        </w:rPr>
        <w:t>reason for the discrepancy</w:t>
      </w:r>
      <w:r w:rsidRPr="00CA6059">
        <w:t> is due to the </w:t>
      </w:r>
      <w:r w:rsidRPr="00CA6059">
        <w:rPr>
          <w:b/>
          <w:bCs/>
        </w:rPr>
        <w:t>excess utilization of IGST ITC under CGST and SGST</w:t>
      </w:r>
      <w:r w:rsidRPr="00CA6059">
        <w:t>, which resulted in an apparent mismatch between the figures in </w:t>
      </w:r>
      <w:r w:rsidRPr="00CA6059">
        <w:rPr>
          <w:b/>
          <w:bCs/>
        </w:rPr>
        <w:t>GSTR-2A</w:t>
      </w:r>
      <w:r w:rsidRPr="00CA6059">
        <w:t> and </w:t>
      </w:r>
      <w:r w:rsidRPr="00CA6059">
        <w:rPr>
          <w:b/>
          <w:bCs/>
        </w:rPr>
        <w:t>GSTR-3B</w:t>
      </w:r>
      <w:r w:rsidRPr="00CA6059">
        <w:t>.</w:t>
      </w:r>
    </w:p>
    <w:p w14:paraId="2E67F88D" w14:textId="77777777" w:rsidR="00CA6059" w:rsidRPr="00CA6059" w:rsidRDefault="00CA6059" w:rsidP="00CA6059">
      <w:pPr>
        <w:numPr>
          <w:ilvl w:val="0"/>
          <w:numId w:val="1"/>
        </w:numPr>
      </w:pPr>
      <w:r w:rsidRPr="00CA6059">
        <w:t>The ITC of </w:t>
      </w:r>
      <w:r w:rsidRPr="00CA6059">
        <w:rPr>
          <w:b/>
          <w:bCs/>
        </w:rPr>
        <w:t>Rs. _______</w:t>
      </w:r>
      <w:r w:rsidRPr="00CA6059">
        <w:t> was utilized from </w:t>
      </w:r>
      <w:r w:rsidRPr="00CA6059">
        <w:rPr>
          <w:b/>
          <w:bCs/>
        </w:rPr>
        <w:t>IGST</w:t>
      </w:r>
      <w:r w:rsidRPr="00CA6059">
        <w:t> instead of splitting the credit appropriately under </w:t>
      </w:r>
      <w:r w:rsidRPr="00CA6059">
        <w:rPr>
          <w:b/>
          <w:bCs/>
        </w:rPr>
        <w:t>CGST</w:t>
      </w:r>
      <w:r w:rsidRPr="00CA6059">
        <w:t> and </w:t>
      </w:r>
      <w:r w:rsidRPr="00CA6059">
        <w:rPr>
          <w:b/>
          <w:bCs/>
        </w:rPr>
        <w:t>SGST</w:t>
      </w:r>
      <w:r w:rsidRPr="00CA6059">
        <w:t>, as required by the law. This was a </w:t>
      </w:r>
      <w:r w:rsidRPr="00CA6059">
        <w:rPr>
          <w:b/>
          <w:bCs/>
        </w:rPr>
        <w:t>genuine error</w:t>
      </w:r>
      <w:r w:rsidRPr="00CA6059">
        <w:t> in the filing process, and the correct allocation will be made in the </w:t>
      </w:r>
      <w:r w:rsidRPr="00CA6059">
        <w:rPr>
          <w:b/>
          <w:bCs/>
        </w:rPr>
        <w:t>next GST return</w:t>
      </w:r>
      <w:r w:rsidRPr="00CA6059">
        <w:t>.</w:t>
      </w:r>
    </w:p>
    <w:p w14:paraId="65B6F9A9" w14:textId="77777777" w:rsidR="00CA6059" w:rsidRPr="00CA6059" w:rsidRDefault="00CA6059" w:rsidP="00CA6059">
      <w:r w:rsidRPr="00CA6059">
        <w:rPr>
          <w:b/>
          <w:bCs/>
        </w:rPr>
        <w:t xml:space="preserve">2. No </w:t>
      </w:r>
      <w:proofErr w:type="spellStart"/>
      <w:r w:rsidRPr="00CA6059">
        <w:rPr>
          <w:b/>
          <w:bCs/>
        </w:rPr>
        <w:t>Malafide</w:t>
      </w:r>
      <w:proofErr w:type="spellEnd"/>
      <w:r w:rsidRPr="00CA6059">
        <w:rPr>
          <w:b/>
          <w:bCs/>
        </w:rPr>
        <w:t xml:space="preserve"> Intent:</w:t>
      </w:r>
    </w:p>
    <w:p w14:paraId="3794AA54" w14:textId="77777777" w:rsidR="00CA6059" w:rsidRPr="00CA6059" w:rsidRDefault="00CA6059" w:rsidP="00CA6059">
      <w:pPr>
        <w:numPr>
          <w:ilvl w:val="0"/>
          <w:numId w:val="2"/>
        </w:numPr>
      </w:pPr>
      <w:r w:rsidRPr="00CA6059">
        <w:t>The </w:t>
      </w:r>
      <w:r w:rsidRPr="00CA6059">
        <w:rPr>
          <w:b/>
          <w:bCs/>
        </w:rPr>
        <w:t>discrepancy in ITC</w:t>
      </w:r>
      <w:r w:rsidRPr="00CA6059">
        <w:t> was </w:t>
      </w:r>
      <w:r w:rsidRPr="00CA6059">
        <w:rPr>
          <w:b/>
          <w:bCs/>
        </w:rPr>
        <w:t>not intentional</w:t>
      </w:r>
      <w:r w:rsidRPr="00CA6059">
        <w:t>, nor was there any intention to </w:t>
      </w:r>
      <w:r w:rsidRPr="00CA6059">
        <w:rPr>
          <w:b/>
          <w:bCs/>
        </w:rPr>
        <w:t>defraud the exchequer</w:t>
      </w:r>
      <w:r w:rsidRPr="00CA6059">
        <w:t>. It was an honest mistake during the process of availing and utilizing ITC for the relevant period.</w:t>
      </w:r>
    </w:p>
    <w:p w14:paraId="5D571B80" w14:textId="77777777" w:rsidR="00CA6059" w:rsidRPr="00CA6059" w:rsidRDefault="00CA6059" w:rsidP="00CA6059">
      <w:pPr>
        <w:numPr>
          <w:ilvl w:val="0"/>
          <w:numId w:val="2"/>
        </w:numPr>
      </w:pPr>
      <w:r w:rsidRPr="00CA6059">
        <w:t>As soon as the error was identified, we promptly took corrective measures and ensured that all ITC was claimed in compliance with the provisions of the </w:t>
      </w:r>
      <w:r w:rsidRPr="00CA6059">
        <w:rPr>
          <w:b/>
          <w:bCs/>
        </w:rPr>
        <w:t>CGST Act, 2017</w:t>
      </w:r>
      <w:r w:rsidRPr="00CA6059">
        <w:t>, and the </w:t>
      </w:r>
      <w:r w:rsidRPr="00CA6059">
        <w:rPr>
          <w:b/>
          <w:bCs/>
        </w:rPr>
        <w:t>GST Rules</w:t>
      </w:r>
      <w:r w:rsidRPr="00CA6059">
        <w:t>.</w:t>
      </w:r>
    </w:p>
    <w:p w14:paraId="71C6E62C" w14:textId="77777777" w:rsidR="00CA6059" w:rsidRPr="00CA6059" w:rsidRDefault="00CA6059" w:rsidP="00CA6059">
      <w:r w:rsidRPr="00CA6059">
        <w:rPr>
          <w:b/>
          <w:bCs/>
        </w:rPr>
        <w:t>3. Reconciliation of the Difference in ITC:</w:t>
      </w:r>
    </w:p>
    <w:p w14:paraId="76791CAB" w14:textId="093EE121" w:rsidR="00CA6059" w:rsidRPr="00CA6059" w:rsidRDefault="00CA6059" w:rsidP="00CA6059">
      <w:pPr>
        <w:numPr>
          <w:ilvl w:val="0"/>
          <w:numId w:val="3"/>
        </w:numPr>
      </w:pPr>
      <w:r w:rsidRPr="00CA6059">
        <w:lastRenderedPageBreak/>
        <w:t>We are currently in the process of reconciling the </w:t>
      </w:r>
      <w:r w:rsidRPr="00CA6059">
        <w:rPr>
          <w:b/>
          <w:bCs/>
        </w:rPr>
        <w:t>ITC difference</w:t>
      </w:r>
      <w:r w:rsidRPr="00CA6059">
        <w:t> in </w:t>
      </w:r>
      <w:r w:rsidRPr="00CA6059">
        <w:rPr>
          <w:b/>
          <w:bCs/>
        </w:rPr>
        <w:t>GSTR-2A</w:t>
      </w:r>
      <w:r w:rsidRPr="00CA6059">
        <w:t> and </w:t>
      </w:r>
      <w:r w:rsidRPr="00CA6059">
        <w:rPr>
          <w:b/>
          <w:bCs/>
        </w:rPr>
        <w:t>GSTR-3B</w:t>
      </w:r>
      <w:r w:rsidRPr="00CA6059">
        <w:t> with the appropriate documentation and records.</w:t>
      </w:r>
    </w:p>
    <w:p w14:paraId="1F4DC189" w14:textId="77777777" w:rsidR="00CA6059" w:rsidRPr="00CA6059" w:rsidRDefault="00CA6059" w:rsidP="00CA6059">
      <w:pPr>
        <w:numPr>
          <w:ilvl w:val="0"/>
          <w:numId w:val="3"/>
        </w:numPr>
      </w:pPr>
      <w:r w:rsidRPr="00CA6059">
        <w:t>We are attaching the </w:t>
      </w:r>
      <w:r w:rsidRPr="00CA6059">
        <w:rPr>
          <w:b/>
          <w:bCs/>
        </w:rPr>
        <w:t>reconciled statements</w:t>
      </w:r>
      <w:r w:rsidRPr="00CA6059">
        <w:t> along with the supporting documents to clarify the difference and to demonstrate that the excess ITC has been correctly accounted for.</w:t>
      </w:r>
    </w:p>
    <w:p w14:paraId="05067087" w14:textId="03B14365" w:rsidR="00CA6059" w:rsidRPr="00CA6059" w:rsidRDefault="00CA6059" w:rsidP="00CA6059">
      <w:r w:rsidRPr="00CA6059">
        <w:rPr>
          <w:b/>
          <w:bCs/>
        </w:rPr>
        <w:t>4. Section 74 Does Not Apply – Error Falls Under Section 73:</w:t>
      </w:r>
    </w:p>
    <w:p w14:paraId="631790A8" w14:textId="20245C25" w:rsidR="00CA6059" w:rsidRPr="00CA6059" w:rsidRDefault="00CA6059" w:rsidP="00CA6059">
      <w:pPr>
        <w:numPr>
          <w:ilvl w:val="0"/>
          <w:numId w:val="4"/>
        </w:numPr>
      </w:pPr>
      <w:r w:rsidRPr="00CA6059">
        <w:t>We respectfully submit that the </w:t>
      </w:r>
      <w:r w:rsidRPr="00CA6059">
        <w:rPr>
          <w:b/>
          <w:bCs/>
        </w:rPr>
        <w:t>error in utilizing IGST ITC under CGST and SGST</w:t>
      </w:r>
      <w:r w:rsidRPr="00CA6059">
        <w:t> is a case of </w:t>
      </w:r>
      <w:r w:rsidRPr="00CA6059">
        <w:rPr>
          <w:b/>
          <w:bCs/>
        </w:rPr>
        <w:t>inadvertent mistake</w:t>
      </w:r>
      <w:r w:rsidRPr="00CA6059">
        <w:t> in filing the returns. Such errors, </w:t>
      </w:r>
      <w:r w:rsidRPr="00CA6059">
        <w:rPr>
          <w:b/>
          <w:bCs/>
        </w:rPr>
        <w:t>which are not due to fraud or willful misstatement</w:t>
      </w:r>
      <w:r w:rsidRPr="00CA6059">
        <w:t>, do not fall under the purview of </w:t>
      </w:r>
      <w:r w:rsidRPr="00CA6059">
        <w:rPr>
          <w:b/>
          <w:bCs/>
        </w:rPr>
        <w:t>Section 74</w:t>
      </w:r>
      <w:r w:rsidRPr="00CA6059">
        <w:t> of the </w:t>
      </w:r>
      <w:r w:rsidRPr="00CA6059">
        <w:rPr>
          <w:b/>
          <w:bCs/>
        </w:rPr>
        <w:t>CGST Act</w:t>
      </w:r>
      <w:r w:rsidRPr="00CA6059">
        <w:t>.</w:t>
      </w:r>
    </w:p>
    <w:p w14:paraId="1A155DEB" w14:textId="75E6E9F0" w:rsidR="00CA6059" w:rsidRPr="00CA6059" w:rsidRDefault="00CA6059" w:rsidP="00CA6059">
      <w:pPr>
        <w:numPr>
          <w:ilvl w:val="0"/>
          <w:numId w:val="4"/>
        </w:numPr>
      </w:pPr>
      <w:r w:rsidRPr="00CA6059">
        <w:rPr>
          <w:b/>
          <w:bCs/>
        </w:rPr>
        <w:t>Section 74</w:t>
      </w:r>
      <w:r w:rsidRPr="00CA6059">
        <w:t> pertains to cases of </w:t>
      </w:r>
      <w:r w:rsidRPr="00CA6059">
        <w:rPr>
          <w:b/>
          <w:bCs/>
        </w:rPr>
        <w:t>fraud, willful misstatement, or suppression of facts</w:t>
      </w:r>
      <w:r w:rsidRPr="00CA6059">
        <w:t> with the intention to evade tax, which is clearly </w:t>
      </w:r>
      <w:r w:rsidRPr="00CA6059">
        <w:rPr>
          <w:b/>
          <w:bCs/>
        </w:rPr>
        <w:t>not applicable</w:t>
      </w:r>
      <w:r w:rsidRPr="00CA6059">
        <w:t> in our case. The discrepancy arose due to a </w:t>
      </w:r>
      <w:r w:rsidRPr="00CA6059">
        <w:rPr>
          <w:b/>
          <w:bCs/>
        </w:rPr>
        <w:t>genuine clerical mistake</w:t>
      </w:r>
      <w:r w:rsidRPr="00CA6059">
        <w:t> during the filing process, and there was no intent to evade tax or mislead the authorities.</w:t>
      </w:r>
    </w:p>
    <w:p w14:paraId="40C0AE87" w14:textId="4BFB4CD3" w:rsidR="00CA6059" w:rsidRPr="00CA6059" w:rsidRDefault="00CA6059" w:rsidP="00CA6059">
      <w:pPr>
        <w:numPr>
          <w:ilvl w:val="0"/>
          <w:numId w:val="4"/>
        </w:numPr>
      </w:pPr>
      <w:r w:rsidRPr="00CA6059">
        <w:t>As per </w:t>
      </w:r>
      <w:r w:rsidRPr="00CA6059">
        <w:rPr>
          <w:b/>
          <w:bCs/>
        </w:rPr>
        <w:t>Section 73</w:t>
      </w:r>
      <w:r w:rsidRPr="00CA6059">
        <w:t>, which applies to cases involving </w:t>
      </w:r>
      <w:r w:rsidRPr="00CA6059">
        <w:rPr>
          <w:b/>
          <w:bCs/>
        </w:rPr>
        <w:t>genuine errors or omissions</w:t>
      </w:r>
      <w:r w:rsidRPr="00CA6059">
        <w:t>, we request that the case be dealt under </w:t>
      </w:r>
      <w:r w:rsidRPr="00CA6059">
        <w:rPr>
          <w:b/>
          <w:bCs/>
        </w:rPr>
        <w:t>Section 73</w:t>
      </w:r>
      <w:r w:rsidRPr="00CA6059">
        <w:t> rather than </w:t>
      </w:r>
      <w:r w:rsidRPr="00CA6059">
        <w:rPr>
          <w:b/>
          <w:bCs/>
        </w:rPr>
        <w:t>Section 74</w:t>
      </w:r>
      <w:r w:rsidRPr="00CA6059">
        <w:t>, since the issue here pertains to a clerical error rather than intentional wrongdoing.</w:t>
      </w:r>
    </w:p>
    <w:p w14:paraId="3AF446B0" w14:textId="586BA71B" w:rsidR="00CA6059" w:rsidRPr="00CA6059" w:rsidRDefault="00CA6059" w:rsidP="00CA6059">
      <w:r w:rsidRPr="00CA6059">
        <w:rPr>
          <w:b/>
          <w:bCs/>
        </w:rPr>
        <w:t>5. Request for Reconsideration of Demand under Section 74:</w:t>
      </w:r>
    </w:p>
    <w:p w14:paraId="48489904" w14:textId="1C882959" w:rsidR="00CA6059" w:rsidRPr="00CA6059" w:rsidRDefault="00CA6059" w:rsidP="00CA6059">
      <w:pPr>
        <w:numPr>
          <w:ilvl w:val="0"/>
          <w:numId w:val="5"/>
        </w:numPr>
      </w:pPr>
      <w:r w:rsidRPr="00CA6059">
        <w:t>In light of the clarifications provided and the </w:t>
      </w:r>
      <w:r w:rsidRPr="00CA6059">
        <w:rPr>
          <w:b/>
          <w:bCs/>
        </w:rPr>
        <w:t>corrective action taken</w:t>
      </w:r>
      <w:r w:rsidRPr="00CA6059">
        <w:t>, we respectfully request that the </w:t>
      </w:r>
      <w:r w:rsidRPr="00CA6059">
        <w:rPr>
          <w:b/>
          <w:bCs/>
        </w:rPr>
        <w:t>demand raised under Section 74</w:t>
      </w:r>
      <w:r w:rsidRPr="00CA6059">
        <w:t> for the discrepancy be </w:t>
      </w:r>
      <w:r w:rsidRPr="00CA6059">
        <w:rPr>
          <w:b/>
          <w:bCs/>
        </w:rPr>
        <w:t>reconsidered</w:t>
      </w:r>
      <w:r w:rsidRPr="00CA6059">
        <w:t> and the penalty and interest be </w:t>
      </w:r>
      <w:r w:rsidRPr="00CA6059">
        <w:rPr>
          <w:b/>
          <w:bCs/>
        </w:rPr>
        <w:t>dropped</w:t>
      </w:r>
      <w:r w:rsidRPr="00CA6059">
        <w:t>.</w:t>
      </w:r>
    </w:p>
    <w:p w14:paraId="24230872" w14:textId="01C4F162" w:rsidR="00CA6059" w:rsidRPr="00CA6059" w:rsidRDefault="00CA6059" w:rsidP="00CA6059">
      <w:pPr>
        <w:numPr>
          <w:ilvl w:val="0"/>
          <w:numId w:val="5"/>
        </w:numPr>
      </w:pPr>
      <w:r w:rsidRPr="00CA6059">
        <w:t>We are committed to complying with all the provisions of the </w:t>
      </w:r>
      <w:r w:rsidRPr="00CA6059">
        <w:rPr>
          <w:b/>
          <w:bCs/>
        </w:rPr>
        <w:t>GST Act</w:t>
      </w:r>
      <w:r w:rsidRPr="00CA6059">
        <w:t>, and the error was rectified promptly once identified. We believe this matter falls under </w:t>
      </w:r>
      <w:r w:rsidRPr="00CA6059">
        <w:rPr>
          <w:b/>
          <w:bCs/>
        </w:rPr>
        <w:t>Section 73</w:t>
      </w:r>
      <w:r w:rsidRPr="00CA6059">
        <w:t> rather than </w:t>
      </w:r>
      <w:r w:rsidRPr="00CA6059">
        <w:rPr>
          <w:b/>
          <w:bCs/>
        </w:rPr>
        <w:t>Section 74</w:t>
      </w:r>
      <w:r w:rsidRPr="00CA6059">
        <w:t> and request the department to proceed under the relevant provisions accordingly.</w:t>
      </w:r>
    </w:p>
    <w:p w14:paraId="6F07B6A8" w14:textId="77777777" w:rsidR="00CA6059" w:rsidRPr="00CA6059" w:rsidRDefault="00CA6059" w:rsidP="00CA6059">
      <w:r w:rsidRPr="00CA6059">
        <w:rPr>
          <w:b/>
          <w:bCs/>
        </w:rPr>
        <w:t>6. Supporting Documents:</w:t>
      </w:r>
    </w:p>
    <w:p w14:paraId="15F7428B" w14:textId="77777777" w:rsidR="00CA6059" w:rsidRPr="00CA6059" w:rsidRDefault="00CA6059" w:rsidP="00CA6059">
      <w:r w:rsidRPr="00CA6059">
        <w:t>We are submitting the following supporting documents for your kind consideration and verification:</w:t>
      </w:r>
    </w:p>
    <w:p w14:paraId="49C09D8C" w14:textId="3C4EF855" w:rsidR="00CA6059" w:rsidRPr="00CA6059" w:rsidRDefault="00CA6059" w:rsidP="00CA6059">
      <w:pPr>
        <w:numPr>
          <w:ilvl w:val="0"/>
          <w:numId w:val="6"/>
        </w:numPr>
      </w:pPr>
      <w:r w:rsidRPr="00CA6059">
        <w:rPr>
          <w:b/>
          <w:bCs/>
        </w:rPr>
        <w:t>Corrected GSTR-3B returns</w:t>
      </w:r>
      <w:r w:rsidRPr="00CA6059">
        <w:t> for the relevant period.</w:t>
      </w:r>
    </w:p>
    <w:p w14:paraId="7D68CF89" w14:textId="77777777" w:rsidR="00CA6059" w:rsidRPr="00CA6059" w:rsidRDefault="00CA6059" w:rsidP="00CA6059">
      <w:pPr>
        <w:numPr>
          <w:ilvl w:val="0"/>
          <w:numId w:val="6"/>
        </w:numPr>
      </w:pPr>
      <w:r w:rsidRPr="00CA6059">
        <w:rPr>
          <w:b/>
          <w:bCs/>
        </w:rPr>
        <w:t>Bank statements</w:t>
      </w:r>
      <w:r w:rsidRPr="00CA6059">
        <w:t> and </w:t>
      </w:r>
      <w:r w:rsidRPr="00CA6059">
        <w:rPr>
          <w:b/>
          <w:bCs/>
        </w:rPr>
        <w:t>invoice details</w:t>
      </w:r>
      <w:r w:rsidRPr="00CA6059">
        <w:t> supporting the ITC claims.</w:t>
      </w:r>
    </w:p>
    <w:p w14:paraId="38EEA624" w14:textId="2A231C17" w:rsidR="00CA6059" w:rsidRPr="00CA6059" w:rsidRDefault="00CA6059" w:rsidP="00CA6059">
      <w:pPr>
        <w:numPr>
          <w:ilvl w:val="0"/>
          <w:numId w:val="6"/>
        </w:numPr>
      </w:pPr>
      <w:r w:rsidRPr="00CA6059">
        <w:rPr>
          <w:b/>
          <w:bCs/>
        </w:rPr>
        <w:t>Reconciled ITC statement</w:t>
      </w:r>
      <w:r w:rsidRPr="00CA6059">
        <w:t> explaining the difference between </w:t>
      </w:r>
      <w:r w:rsidRPr="00CA6059">
        <w:rPr>
          <w:b/>
          <w:bCs/>
        </w:rPr>
        <w:t>GSTR-2A</w:t>
      </w:r>
      <w:r w:rsidRPr="00CA6059">
        <w:t> and </w:t>
      </w:r>
      <w:r w:rsidRPr="00CA6059">
        <w:rPr>
          <w:b/>
          <w:bCs/>
        </w:rPr>
        <w:t>GSTR-3B</w:t>
      </w:r>
      <w:r w:rsidRPr="00CA6059">
        <w:t>.</w:t>
      </w:r>
    </w:p>
    <w:p w14:paraId="36689828" w14:textId="166F9821" w:rsidR="00CA6059" w:rsidRPr="00CA6059" w:rsidRDefault="00CA6059" w:rsidP="00CA6059">
      <w:r w:rsidRPr="00CA6059">
        <w:t>We assure you of our full cooperation and compliance with the provisions of the GST Act. We request that you kindly review our explanation and supporting documents and consider dropping the proposed demand for </w:t>
      </w:r>
      <w:r w:rsidRPr="00CA6059">
        <w:rPr>
          <w:b/>
          <w:bCs/>
        </w:rPr>
        <w:t>interest</w:t>
      </w:r>
      <w:r w:rsidRPr="00CA6059">
        <w:t> and </w:t>
      </w:r>
      <w:r w:rsidRPr="00CA6059">
        <w:rPr>
          <w:b/>
          <w:bCs/>
        </w:rPr>
        <w:t>penalty</w:t>
      </w:r>
      <w:r w:rsidRPr="00CA6059">
        <w:t> under </w:t>
      </w:r>
      <w:r w:rsidRPr="00CA6059">
        <w:rPr>
          <w:b/>
          <w:bCs/>
        </w:rPr>
        <w:t>Section 74</w:t>
      </w:r>
      <w:r w:rsidRPr="00CA6059">
        <w:t>.</w:t>
      </w:r>
    </w:p>
    <w:p w14:paraId="0A1C3096" w14:textId="65A211A4" w:rsidR="005237F3" w:rsidRDefault="00CA6059" w:rsidP="00CA6059">
      <w:r w:rsidRPr="00CA6059">
        <w:rPr>
          <w:b/>
          <w:bCs/>
        </w:rPr>
        <w:t>Yours sincerely,</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3999"/>
    <w:multiLevelType w:val="multilevel"/>
    <w:tmpl w:val="B158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AC4B48"/>
    <w:multiLevelType w:val="multilevel"/>
    <w:tmpl w:val="9022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2B1004"/>
    <w:multiLevelType w:val="multilevel"/>
    <w:tmpl w:val="18A4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6A3F03"/>
    <w:multiLevelType w:val="multilevel"/>
    <w:tmpl w:val="3E2E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AB77B1"/>
    <w:multiLevelType w:val="multilevel"/>
    <w:tmpl w:val="28F4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E90434"/>
    <w:multiLevelType w:val="multilevel"/>
    <w:tmpl w:val="ED00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3813056">
    <w:abstractNumId w:val="1"/>
  </w:num>
  <w:num w:numId="2" w16cid:durableId="210074100">
    <w:abstractNumId w:val="5"/>
  </w:num>
  <w:num w:numId="3" w16cid:durableId="510026355">
    <w:abstractNumId w:val="2"/>
  </w:num>
  <w:num w:numId="4" w16cid:durableId="1140727692">
    <w:abstractNumId w:val="0"/>
  </w:num>
  <w:num w:numId="5" w16cid:durableId="1168715748">
    <w:abstractNumId w:val="3"/>
  </w:num>
  <w:num w:numId="6" w16cid:durableId="1215695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59"/>
    <w:rsid w:val="00031CAE"/>
    <w:rsid w:val="00447B58"/>
    <w:rsid w:val="005237F3"/>
    <w:rsid w:val="00CA6059"/>
    <w:rsid w:val="00E949B8"/>
    <w:rsid w:val="00F4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D24C"/>
  <w15:chartTrackingRefBased/>
  <w15:docId w15:val="{2473587E-1C67-4B1D-AB24-1F41140C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6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60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60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60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6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0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60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60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60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60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6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059"/>
    <w:rPr>
      <w:rFonts w:eastAsiaTheme="majorEastAsia" w:cstheme="majorBidi"/>
      <w:color w:val="272727" w:themeColor="text1" w:themeTint="D8"/>
    </w:rPr>
  </w:style>
  <w:style w:type="paragraph" w:styleId="Title">
    <w:name w:val="Title"/>
    <w:basedOn w:val="Normal"/>
    <w:next w:val="Normal"/>
    <w:link w:val="TitleChar"/>
    <w:uiPriority w:val="10"/>
    <w:qFormat/>
    <w:rsid w:val="00CA6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059"/>
    <w:pPr>
      <w:spacing w:before="160"/>
      <w:jc w:val="center"/>
    </w:pPr>
    <w:rPr>
      <w:i/>
      <w:iCs/>
      <w:color w:val="404040" w:themeColor="text1" w:themeTint="BF"/>
    </w:rPr>
  </w:style>
  <w:style w:type="character" w:customStyle="1" w:styleId="QuoteChar">
    <w:name w:val="Quote Char"/>
    <w:basedOn w:val="DefaultParagraphFont"/>
    <w:link w:val="Quote"/>
    <w:uiPriority w:val="29"/>
    <w:rsid w:val="00CA6059"/>
    <w:rPr>
      <w:i/>
      <w:iCs/>
      <w:color w:val="404040" w:themeColor="text1" w:themeTint="BF"/>
    </w:rPr>
  </w:style>
  <w:style w:type="paragraph" w:styleId="ListParagraph">
    <w:name w:val="List Paragraph"/>
    <w:basedOn w:val="Normal"/>
    <w:uiPriority w:val="34"/>
    <w:qFormat/>
    <w:rsid w:val="00CA6059"/>
    <w:pPr>
      <w:ind w:left="720"/>
      <w:contextualSpacing/>
    </w:pPr>
  </w:style>
  <w:style w:type="character" w:styleId="IntenseEmphasis">
    <w:name w:val="Intense Emphasis"/>
    <w:basedOn w:val="DefaultParagraphFont"/>
    <w:uiPriority w:val="21"/>
    <w:qFormat/>
    <w:rsid w:val="00CA6059"/>
    <w:rPr>
      <w:i/>
      <w:iCs/>
      <w:color w:val="2F5496" w:themeColor="accent1" w:themeShade="BF"/>
    </w:rPr>
  </w:style>
  <w:style w:type="paragraph" w:styleId="IntenseQuote">
    <w:name w:val="Intense Quote"/>
    <w:basedOn w:val="Normal"/>
    <w:next w:val="Normal"/>
    <w:link w:val="IntenseQuoteChar"/>
    <w:uiPriority w:val="30"/>
    <w:qFormat/>
    <w:rsid w:val="00CA6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6059"/>
    <w:rPr>
      <w:i/>
      <w:iCs/>
      <w:color w:val="2F5496" w:themeColor="accent1" w:themeShade="BF"/>
    </w:rPr>
  </w:style>
  <w:style w:type="character" w:styleId="IntenseReference">
    <w:name w:val="Intense Reference"/>
    <w:basedOn w:val="DefaultParagraphFont"/>
    <w:uiPriority w:val="32"/>
    <w:qFormat/>
    <w:rsid w:val="00CA6059"/>
    <w:rPr>
      <w:b/>
      <w:bCs/>
      <w:smallCaps/>
      <w:color w:val="2F5496" w:themeColor="accent1" w:themeShade="BF"/>
      <w:spacing w:val="5"/>
    </w:rPr>
  </w:style>
  <w:style w:type="character" w:styleId="Hyperlink">
    <w:name w:val="Hyperlink"/>
    <w:basedOn w:val="DefaultParagraphFont"/>
    <w:uiPriority w:val="99"/>
    <w:unhideWhenUsed/>
    <w:rsid w:val="00CA6059"/>
    <w:rPr>
      <w:color w:val="0563C1" w:themeColor="hyperlink"/>
      <w:u w:val="single"/>
    </w:rPr>
  </w:style>
  <w:style w:type="character" w:styleId="UnresolvedMention">
    <w:name w:val="Unresolved Mention"/>
    <w:basedOn w:val="DefaultParagraphFont"/>
    <w:uiPriority w:val="99"/>
    <w:semiHidden/>
    <w:unhideWhenUsed/>
    <w:rsid w:val="00CA6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2025-10-25T06:40:00Z</dcterms:created>
  <dcterms:modified xsi:type="dcterms:W3CDTF">2025-10-25T06:41:00Z</dcterms:modified>
</cp:coreProperties>
</file>