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7826" w14:textId="77777777" w:rsidR="00CB5641" w:rsidRPr="00CB5641" w:rsidRDefault="00CB5641" w:rsidP="00CB5641">
      <w:r w:rsidRPr="00CB5641">
        <w:rPr>
          <w:b/>
          <w:bCs/>
        </w:rPr>
        <w:t>Appeal against order of detention of goods as e-invoice was not accompanied with goods in transit</w:t>
      </w:r>
    </w:p>
    <w:p w14:paraId="386B187B" w14:textId="77777777" w:rsidR="00CB5641" w:rsidRPr="00CB5641" w:rsidRDefault="00CB5641" w:rsidP="00CB5641">
      <w:r w:rsidRPr="00CB5641">
        <w:rPr>
          <w:b/>
          <w:bCs/>
        </w:rPr>
        <w:t xml:space="preserve">Statement of </w:t>
      </w:r>
      <w:proofErr w:type="gramStart"/>
      <w:r w:rsidRPr="00CB5641">
        <w:rPr>
          <w:b/>
          <w:bCs/>
        </w:rPr>
        <w:t>facts:-</w:t>
      </w:r>
      <w:proofErr w:type="gramEnd"/>
    </w:p>
    <w:p w14:paraId="7F96F5E1" w14:textId="64B3B28C" w:rsidR="00CB5641" w:rsidRPr="00CB5641" w:rsidRDefault="00CB5641" w:rsidP="00CB5641">
      <w:r w:rsidRPr="00CB5641">
        <w:t>The goods in movement were inspected under the provisions of sub-section (3) of </w:t>
      </w:r>
      <w:r w:rsidRPr="00CB5641">
        <w:rPr>
          <w:b/>
          <w:bCs/>
        </w:rPr>
        <w:t>Section 68</w:t>
      </w:r>
      <w:r w:rsidRPr="00CB5641">
        <w:t xml:space="preserve"> of the Central Goods and Services Tax Act, 2017 and the following discrepancies were </w:t>
      </w:r>
      <w:proofErr w:type="gramStart"/>
      <w:r w:rsidRPr="00CB5641">
        <w:t>found :</w:t>
      </w:r>
      <w:proofErr w:type="gramEnd"/>
      <w:r w:rsidRPr="00CB5641">
        <w:t>-</w:t>
      </w:r>
    </w:p>
    <w:p w14:paraId="5D63B8B7" w14:textId="77777777" w:rsidR="00CB5641" w:rsidRPr="00CB5641" w:rsidRDefault="00CB5641" w:rsidP="00CB5641">
      <w:r w:rsidRPr="00CB5641">
        <w:t xml:space="preserve">(a) E-invoice was not accompanied with the goods, whereas it was mandatory as the turnover of the dealer is more than Rs. 5 </w:t>
      </w:r>
      <w:proofErr w:type="gramStart"/>
      <w:r w:rsidRPr="00CB5641">
        <w:t>crore</w:t>
      </w:r>
      <w:proofErr w:type="gramEnd"/>
      <w:r w:rsidRPr="00CB5641">
        <w:t>.</w:t>
      </w:r>
    </w:p>
    <w:p w14:paraId="55B2279C" w14:textId="3729F39B" w:rsidR="00CB5641" w:rsidRPr="00CB5641" w:rsidRDefault="00CB5641" w:rsidP="00CB5641">
      <w:r w:rsidRPr="00CB5641">
        <w:t>(b) Goods and the conveyance used for the movement of goods were detained under sub-section (1) of </w:t>
      </w:r>
      <w:r w:rsidRPr="00CB5641">
        <w:rPr>
          <w:b/>
          <w:bCs/>
        </w:rPr>
        <w:t>Section 129</w:t>
      </w:r>
      <w:r w:rsidRPr="00CB5641">
        <w:t> of CGST Act by issuing an order of detention in FORM GST </w:t>
      </w:r>
      <w:r w:rsidRPr="00CB5641">
        <w:rPr>
          <w:b/>
          <w:bCs/>
        </w:rPr>
        <w:t>MOV-06</w:t>
      </w:r>
      <w:r w:rsidRPr="00CB5641">
        <w:t> and the same was served on the person-in-charge of the conveyance and owner of the vehicle.</w:t>
      </w:r>
    </w:p>
    <w:p w14:paraId="2EA6716D" w14:textId="77777777" w:rsidR="00CB5641" w:rsidRPr="00CB5641" w:rsidRDefault="00CB5641" w:rsidP="00CB5641">
      <w:r w:rsidRPr="00CB5641">
        <w:rPr>
          <w:b/>
          <w:bCs/>
        </w:rPr>
        <w:t xml:space="preserve">Grounds of </w:t>
      </w:r>
      <w:proofErr w:type="gramStart"/>
      <w:r w:rsidRPr="00CB5641">
        <w:rPr>
          <w:b/>
          <w:bCs/>
        </w:rPr>
        <w:t>appeal:-</w:t>
      </w:r>
      <w:proofErr w:type="gramEnd"/>
    </w:p>
    <w:p w14:paraId="425A2FB3" w14:textId="30BB6D60" w:rsidR="00CB5641" w:rsidRPr="00CB5641" w:rsidRDefault="00CB5641" w:rsidP="00CB5641">
      <w:r w:rsidRPr="00CB5641">
        <w:t>(</w:t>
      </w:r>
      <w:proofErr w:type="spellStart"/>
      <w:r w:rsidRPr="00CB5641">
        <w:t>i</w:t>
      </w:r>
      <w:proofErr w:type="spellEnd"/>
      <w:r w:rsidRPr="00CB5641">
        <w:t>) that the impugned order is passed by the adjudicating authority under </w:t>
      </w:r>
      <w:r w:rsidRPr="00CB5641">
        <w:rPr>
          <w:b/>
          <w:bCs/>
        </w:rPr>
        <w:t>Section 129</w:t>
      </w:r>
      <w:r w:rsidRPr="00CB5641">
        <w:t xml:space="preserve"> is without </w:t>
      </w:r>
      <w:proofErr w:type="gramStart"/>
      <w:r w:rsidRPr="00CB5641">
        <w:t>jurisdiction,  illegal</w:t>
      </w:r>
      <w:proofErr w:type="gramEnd"/>
      <w:r w:rsidRPr="00CB5641">
        <w:t>, perverse, issued in arbitrary manner, is highly erroneous and merely on presumption and assumption basis without considering the facts and circumstances of the case.</w:t>
      </w:r>
    </w:p>
    <w:p w14:paraId="18E4BC59" w14:textId="77777777" w:rsidR="00CB5641" w:rsidRPr="00CB5641" w:rsidRDefault="00CB5641" w:rsidP="00CB5641">
      <w:r w:rsidRPr="00CB5641">
        <w:t>(ii) that no SCN was issued and the same was issued was non-speaking and the same did not disclose the material facts on the basis of which the notice was issued. It is trite law that SCN should set out clearly grounds for proposed action.</w:t>
      </w:r>
    </w:p>
    <w:p w14:paraId="1A1A5F67" w14:textId="77777777" w:rsidR="00CB5641" w:rsidRPr="00CB5641" w:rsidRDefault="00CB5641" w:rsidP="00CB5641">
      <w:r w:rsidRPr="00CB5641">
        <w:t>(iii) that the adjudicating authority has detained the goods without conducting any enquiry for the genuineness and not followed the instruction of the Central Board of Indirect Taxes that e-invoice can be generated any time after dispatch of goods.</w:t>
      </w:r>
    </w:p>
    <w:p w14:paraId="00CAA752" w14:textId="77777777" w:rsidR="00CB5641" w:rsidRPr="00CB5641" w:rsidRDefault="00CB5641" w:rsidP="00CB5641">
      <w:r w:rsidRPr="00CB5641">
        <w:t>(iv) that in the facts and circumstances of the case and in law, it is not justified by the adjudicating authority to levy tax and penalty.</w:t>
      </w:r>
    </w:p>
    <w:p w14:paraId="7981B167" w14:textId="43FA550B" w:rsidR="00CB5641" w:rsidRPr="00CB5641" w:rsidRDefault="00CB5641" w:rsidP="00CB5641">
      <w:r w:rsidRPr="00CB5641">
        <w:t>(v) It is not in dispute that our turnover was more than Rs. 5 crores in preceding financial year and as per notification no. </w:t>
      </w:r>
      <w:r w:rsidRPr="00CB5641">
        <w:rPr>
          <w:b/>
          <w:bCs/>
        </w:rPr>
        <w:t>10/2023</w:t>
      </w:r>
      <w:r w:rsidRPr="00CB5641">
        <w:t> (central tax) dated 10th May 2023, registered person whose aggregate turnover in any preceding financial year from 2017-18 onwards exceed 5 crores is required to generate e-invoice.</w:t>
      </w:r>
    </w:p>
    <w:p w14:paraId="7F7FBA98" w14:textId="70EC696A" w:rsidR="00CB5641" w:rsidRPr="00CB5641" w:rsidRDefault="00CB5641" w:rsidP="00CB5641">
      <w:r w:rsidRPr="00CB5641">
        <w:t>(vi) As per instruction no. </w:t>
      </w:r>
      <w:r w:rsidRPr="00CB5641">
        <w:rPr>
          <w:b/>
          <w:bCs/>
        </w:rPr>
        <w:t>20006/15/2023</w:t>
      </w:r>
      <w:r w:rsidRPr="00CB5641">
        <w:t>-GST, dated 18th October, 2023, with the insertion of Clause (s) in </w:t>
      </w:r>
      <w:r w:rsidRPr="00CB5641">
        <w:rPr>
          <w:b/>
          <w:bCs/>
        </w:rPr>
        <w:t>Rule 46</w:t>
      </w:r>
      <w:r w:rsidRPr="00CB5641">
        <w:t> of the CGST Rules, the taxpayers having Annual Aggregate Turn Over of more than the threshold notified under sub-rule (4) of </w:t>
      </w:r>
      <w:r w:rsidRPr="00CB5641">
        <w:rPr>
          <w:b/>
          <w:bCs/>
        </w:rPr>
        <w:t>Rule 48</w:t>
      </w:r>
      <w:r w:rsidRPr="00CB5641">
        <w:t> of the CGST Rules but have been exempted from the issuance of e-invoices under relevant legal provisions are required to declare on their invoices that they are not required to issue invoice in the manner specified in sub-rule (4) of </w:t>
      </w:r>
      <w:r w:rsidRPr="00CB5641">
        <w:rPr>
          <w:b/>
          <w:bCs/>
        </w:rPr>
        <w:t>Rule 48</w:t>
      </w:r>
      <w:r w:rsidRPr="00CB5641">
        <w:t xml:space="preserve"> of the CGST Rules. Further, the taxpayers, who have exceeded the </w:t>
      </w:r>
      <w:r w:rsidRPr="00CB5641">
        <w:lastRenderedPageBreak/>
        <w:t>prescribed threshold of Aggregate turnover but are exempted from issuance of e-invoice, can file the declaration on the recently introduced functionality on the portal to make a self-declaration regarding category under which they are exempted from issuance of e-invoices. Accordingly, we have applied for exemption from generation of e-invoice.</w:t>
      </w:r>
    </w:p>
    <w:p w14:paraId="62266076" w14:textId="036499AF" w:rsidR="00CB5641" w:rsidRPr="00CB5641" w:rsidRDefault="00CB5641" w:rsidP="00CB5641">
      <w:r w:rsidRPr="00CB5641">
        <w:t xml:space="preserve">(vii) </w:t>
      </w:r>
      <w:proofErr w:type="gramStart"/>
      <w:r w:rsidRPr="00CB5641">
        <w:t>Also</w:t>
      </w:r>
      <w:proofErr w:type="gramEnd"/>
      <w:r w:rsidRPr="00CB5641">
        <w:t xml:space="preserve"> as per notification no. </w:t>
      </w:r>
      <w:r w:rsidRPr="00CB5641">
        <w:rPr>
          <w:b/>
          <w:bCs/>
        </w:rPr>
        <w:t>13/2020</w:t>
      </w:r>
      <w:r w:rsidRPr="00CB5641">
        <w:t>-CT dated 31.03.2020 generation of e-invoice to B2C supplies is not required. Also refer FAQ issued by CBIC wherein it is mentioned that reporting B2C invoices by notified persons is not applicable/allowed currently. (As per FAQ No. 10 issued by CBIC on 11.11.2020)</w:t>
      </w:r>
    </w:p>
    <w:p w14:paraId="754F89D2" w14:textId="0DCFA340" w:rsidR="00CB5641" w:rsidRPr="00CB5641" w:rsidRDefault="00CB5641" w:rsidP="00CB5641">
      <w:r w:rsidRPr="00CB5641">
        <w:t>(viii) National Informatics Centre has issued an advisory on </w:t>
      </w:r>
      <w:r w:rsidRPr="00CB5641">
        <w:rPr>
          <w:b/>
          <w:bCs/>
        </w:rPr>
        <w:t>11.09.2023</w:t>
      </w:r>
      <w:r w:rsidRPr="00CB5641">
        <w:t>/</w:t>
      </w:r>
      <w:r w:rsidRPr="00CB5641">
        <w:rPr>
          <w:b/>
          <w:bCs/>
        </w:rPr>
        <w:t>13.09.2023</w:t>
      </w:r>
      <w:r w:rsidRPr="00CB5641">
        <w:t> on NEW Time limit for Reporting of Invoices on the IRP Portal. According to this advisory it is to update that it has been decided by the GST Authority to impose a time limit of 30 days for reporting of invoices from date of invoice, on E-invoice portals. This time limit is applicable for taxpayers with AATO greater than or equal to 100 crores. Hence, the taxpayers in this category will not be allowed to report invoices older than 30 days on the date of reporting. It is further to clarify that there will be no such reporting restriction on taxpayers with AATO less than 100 crores, as of now.</w:t>
      </w:r>
    </w:p>
    <w:p w14:paraId="07674044" w14:textId="77777777" w:rsidR="00CB5641" w:rsidRPr="00CB5641" w:rsidRDefault="00CB5641" w:rsidP="00CB5641">
      <w:r w:rsidRPr="00CB5641">
        <w:t>(ix) Since our turnover is less than 100 crores, there is no time limit for reporting of invoice on the IRP portal. However, we have generated the IRP as on date</w:t>
      </w:r>
    </w:p>
    <w:p w14:paraId="1F1937AA" w14:textId="77777777" w:rsidR="00CB5641" w:rsidRPr="00CB5641" w:rsidRDefault="00CB5641" w:rsidP="00CB5641">
      <w:proofErr w:type="gramStart"/>
      <w:r w:rsidRPr="00CB5641">
        <w:rPr>
          <w:b/>
          <w:bCs/>
        </w:rPr>
        <w:t>Prayer:</w:t>
      </w:r>
      <w:r w:rsidRPr="00CB5641">
        <w:t>-</w:t>
      </w:r>
      <w:proofErr w:type="gramEnd"/>
    </w:p>
    <w:p w14:paraId="257928C3" w14:textId="50ADB559" w:rsidR="00CB5641" w:rsidRPr="00CB5641" w:rsidRDefault="00CB5641" w:rsidP="00CB5641">
      <w:r w:rsidRPr="00CB5641">
        <w:t>Therefore, looking into the facts and circumstances of the case, the tax payer is ready to fully co-operate with you and request you to quash the notice and delete/drop the proposed penalty of Rs…………</w:t>
      </w:r>
      <w:proofErr w:type="gramStart"/>
      <w:r w:rsidRPr="00CB5641">
        <w:t>…./</w:t>
      </w:r>
      <w:proofErr w:type="gramEnd"/>
      <w:r w:rsidRPr="00CB5641">
        <w:t>- on account of non-issuance of e-invoice which is not applicable on the tax payer who has complied the provisions of </w:t>
      </w:r>
      <w:r w:rsidRPr="00CB5641">
        <w:rPr>
          <w:b/>
          <w:bCs/>
        </w:rPr>
        <w:t>Rule 48(4)</w:t>
      </w:r>
      <w:r w:rsidRPr="00CB5641">
        <w:t> of the CGST Rules, 2017.</w:t>
      </w:r>
    </w:p>
    <w:p w14:paraId="341D7691" w14:textId="7F92FDF5" w:rsidR="00CB5641" w:rsidRPr="00CB5641" w:rsidRDefault="00CB5641" w:rsidP="00CB5641">
      <w:r w:rsidRPr="00CB5641">
        <w:t>As a result, the penalty of Rs…………………………/- </w:t>
      </w:r>
      <w:r w:rsidRPr="00CB5641">
        <w:rPr>
          <w:b/>
          <w:bCs/>
        </w:rPr>
        <w:t>u/s 129(1)(a)</w:t>
      </w:r>
      <w:r w:rsidRPr="00CB5641">
        <w:t> may be deleted/dropped in full.</w:t>
      </w:r>
    </w:p>
    <w:p w14:paraId="695A5537" w14:textId="77777777" w:rsidR="00CB5641" w:rsidRPr="00CB5641" w:rsidRDefault="00CB5641" w:rsidP="00CB5641">
      <w:pPr>
        <w:numPr>
          <w:ilvl w:val="0"/>
          <w:numId w:val="1"/>
        </w:numPr>
      </w:pPr>
      <w:r w:rsidRPr="00CB5641">
        <w:t>Select the grounds as per your requirement.</w:t>
      </w:r>
    </w:p>
    <w:p w14:paraId="354A790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45D4"/>
    <w:multiLevelType w:val="multilevel"/>
    <w:tmpl w:val="4B9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09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41"/>
    <w:rsid w:val="00031CAE"/>
    <w:rsid w:val="00447B58"/>
    <w:rsid w:val="005237F3"/>
    <w:rsid w:val="00CB5641"/>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45FF"/>
  <w15:chartTrackingRefBased/>
  <w15:docId w15:val="{4CEF9E1B-9CF0-4998-B18E-806AF509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641"/>
    <w:rPr>
      <w:rFonts w:eastAsiaTheme="majorEastAsia" w:cstheme="majorBidi"/>
      <w:color w:val="272727" w:themeColor="text1" w:themeTint="D8"/>
    </w:rPr>
  </w:style>
  <w:style w:type="paragraph" w:styleId="Title">
    <w:name w:val="Title"/>
    <w:basedOn w:val="Normal"/>
    <w:next w:val="Normal"/>
    <w:link w:val="TitleChar"/>
    <w:uiPriority w:val="10"/>
    <w:qFormat/>
    <w:rsid w:val="00CB5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641"/>
    <w:pPr>
      <w:spacing w:before="160"/>
      <w:jc w:val="center"/>
    </w:pPr>
    <w:rPr>
      <w:i/>
      <w:iCs/>
      <w:color w:val="404040" w:themeColor="text1" w:themeTint="BF"/>
    </w:rPr>
  </w:style>
  <w:style w:type="character" w:customStyle="1" w:styleId="QuoteChar">
    <w:name w:val="Quote Char"/>
    <w:basedOn w:val="DefaultParagraphFont"/>
    <w:link w:val="Quote"/>
    <w:uiPriority w:val="29"/>
    <w:rsid w:val="00CB5641"/>
    <w:rPr>
      <w:i/>
      <w:iCs/>
      <w:color w:val="404040" w:themeColor="text1" w:themeTint="BF"/>
    </w:rPr>
  </w:style>
  <w:style w:type="paragraph" w:styleId="ListParagraph">
    <w:name w:val="List Paragraph"/>
    <w:basedOn w:val="Normal"/>
    <w:uiPriority w:val="34"/>
    <w:qFormat/>
    <w:rsid w:val="00CB5641"/>
    <w:pPr>
      <w:ind w:left="720"/>
      <w:contextualSpacing/>
    </w:pPr>
  </w:style>
  <w:style w:type="character" w:styleId="IntenseEmphasis">
    <w:name w:val="Intense Emphasis"/>
    <w:basedOn w:val="DefaultParagraphFont"/>
    <w:uiPriority w:val="21"/>
    <w:qFormat/>
    <w:rsid w:val="00CB5641"/>
    <w:rPr>
      <w:i/>
      <w:iCs/>
      <w:color w:val="2F5496" w:themeColor="accent1" w:themeShade="BF"/>
    </w:rPr>
  </w:style>
  <w:style w:type="paragraph" w:styleId="IntenseQuote">
    <w:name w:val="Intense Quote"/>
    <w:basedOn w:val="Normal"/>
    <w:next w:val="Normal"/>
    <w:link w:val="IntenseQuoteChar"/>
    <w:uiPriority w:val="30"/>
    <w:qFormat/>
    <w:rsid w:val="00CB5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641"/>
    <w:rPr>
      <w:i/>
      <w:iCs/>
      <w:color w:val="2F5496" w:themeColor="accent1" w:themeShade="BF"/>
    </w:rPr>
  </w:style>
  <w:style w:type="character" w:styleId="IntenseReference">
    <w:name w:val="Intense Reference"/>
    <w:basedOn w:val="DefaultParagraphFont"/>
    <w:uiPriority w:val="32"/>
    <w:qFormat/>
    <w:rsid w:val="00CB5641"/>
    <w:rPr>
      <w:b/>
      <w:bCs/>
      <w:smallCaps/>
      <w:color w:val="2F5496" w:themeColor="accent1" w:themeShade="BF"/>
      <w:spacing w:val="5"/>
    </w:rPr>
  </w:style>
  <w:style w:type="character" w:styleId="Hyperlink">
    <w:name w:val="Hyperlink"/>
    <w:basedOn w:val="DefaultParagraphFont"/>
    <w:uiPriority w:val="99"/>
    <w:unhideWhenUsed/>
    <w:rsid w:val="00CB5641"/>
    <w:rPr>
      <w:color w:val="0563C1" w:themeColor="hyperlink"/>
      <w:u w:val="single"/>
    </w:rPr>
  </w:style>
  <w:style w:type="character" w:styleId="UnresolvedMention">
    <w:name w:val="Unresolved Mention"/>
    <w:basedOn w:val="DefaultParagraphFont"/>
    <w:uiPriority w:val="99"/>
    <w:semiHidden/>
    <w:unhideWhenUsed/>
    <w:rsid w:val="00CB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2025-10-25T06:53:00Z</dcterms:created>
  <dcterms:modified xsi:type="dcterms:W3CDTF">2025-10-25T06:53:00Z</dcterms:modified>
</cp:coreProperties>
</file>