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C1609" w14:textId="77777777" w:rsidR="00B47508" w:rsidRPr="00B47508" w:rsidRDefault="00B47508" w:rsidP="00B47508">
      <w:r w:rsidRPr="00B47508">
        <w:rPr>
          <w:b/>
          <w:bCs/>
        </w:rPr>
        <w:t>To,</w:t>
      </w:r>
    </w:p>
    <w:p w14:paraId="44860DD1" w14:textId="77777777" w:rsidR="00B47508" w:rsidRPr="00B47508" w:rsidRDefault="00B47508" w:rsidP="00B47508">
      <w:r w:rsidRPr="00B47508">
        <w:t>The Assistant Commissioner,</w:t>
      </w:r>
    </w:p>
    <w:p w14:paraId="65CCEDC1" w14:textId="77777777" w:rsidR="00B47508" w:rsidRPr="00B47508" w:rsidRDefault="00B47508" w:rsidP="00B47508">
      <w:r w:rsidRPr="00B47508">
        <w:t>GST Department,</w:t>
      </w:r>
    </w:p>
    <w:p w14:paraId="01C9F55C" w14:textId="77777777" w:rsidR="00B47508" w:rsidRPr="00B47508" w:rsidRDefault="00B47508" w:rsidP="00B47508">
      <w:r w:rsidRPr="00B47508">
        <w:t>[Office Address],</w:t>
      </w:r>
    </w:p>
    <w:p w14:paraId="3BD681A5" w14:textId="77777777" w:rsidR="00B47508" w:rsidRPr="00B47508" w:rsidRDefault="00B47508" w:rsidP="00B47508">
      <w:r w:rsidRPr="00B47508">
        <w:t>[City, State].</w:t>
      </w:r>
    </w:p>
    <w:p w14:paraId="2F386BC4" w14:textId="77777777" w:rsidR="00B47508" w:rsidRPr="00B47508" w:rsidRDefault="00B47508" w:rsidP="00B47508">
      <w:r w:rsidRPr="00B47508">
        <w:rPr>
          <w:b/>
          <w:bCs/>
        </w:rPr>
        <w:t>Subject:</w:t>
      </w:r>
      <w:r w:rsidRPr="00B47508">
        <w:t> Response to ASMT-10 Notice Regarding ITC Claimed in GSTR-3B for FY 2021-22</w:t>
      </w:r>
    </w:p>
    <w:p w14:paraId="228AF9FF" w14:textId="77777777" w:rsidR="00B47508" w:rsidRPr="00B47508" w:rsidRDefault="00B47508" w:rsidP="00B47508">
      <w:r w:rsidRPr="00B47508">
        <w:rPr>
          <w:b/>
          <w:bCs/>
        </w:rPr>
        <w:t>Respected Sir,</w:t>
      </w:r>
    </w:p>
    <w:p w14:paraId="48A58387" w14:textId="7C78FF41" w:rsidR="00B47508" w:rsidRPr="00B47508" w:rsidRDefault="00B47508" w:rsidP="00B47508">
      <w:r w:rsidRPr="00B47508">
        <w:t>I, [Your Name], representing M/s. [Your Company Name], GSTIN [Your GSTIN], am writing in response to the </w:t>
      </w:r>
      <w:r w:rsidRPr="00B47508">
        <w:rPr>
          <w:b/>
          <w:bCs/>
        </w:rPr>
        <w:t>ASMT-10</w:t>
      </w:r>
      <w:r w:rsidRPr="00B47508">
        <w:t> notice issued for the financial year 2021-22, regarding the total ITC claimed in the </w:t>
      </w:r>
      <w:r w:rsidRPr="00B47508">
        <w:rPr>
          <w:b/>
          <w:bCs/>
        </w:rPr>
        <w:t>GSTR-3B</w:t>
      </w:r>
      <w:r w:rsidRPr="00B47508">
        <w:t> and the method used to adjust credit notes and purchase returns.</w:t>
      </w:r>
    </w:p>
    <w:p w14:paraId="10B3AE5C" w14:textId="77777777" w:rsidR="00B47508" w:rsidRPr="00B47508" w:rsidRDefault="00B47508" w:rsidP="00B47508">
      <w:r w:rsidRPr="00B47508">
        <w:t>We acknowledge the department`s concern regarding the method of adjustment of ITC for debit notes and purchase returns. We would like to provide a detailed explanation and clarification of the approach we have followed, as well as the relevant legal provisions to justify our position.</w:t>
      </w:r>
    </w:p>
    <w:p w14:paraId="5834AA81" w14:textId="77777777" w:rsidR="00B47508" w:rsidRPr="00B47508" w:rsidRDefault="00B47508" w:rsidP="00B47508">
      <w:r w:rsidRPr="00B47508">
        <w:rPr>
          <w:b/>
          <w:bCs/>
        </w:rPr>
        <w:t>1. ITC Adjustment for Debit Notes and Purchase Returns:</w:t>
      </w:r>
    </w:p>
    <w:p w14:paraId="777E01B5" w14:textId="299F9A79" w:rsidR="00B47508" w:rsidRPr="00B47508" w:rsidRDefault="00B47508" w:rsidP="00B47508">
      <w:pPr>
        <w:numPr>
          <w:ilvl w:val="0"/>
          <w:numId w:val="1"/>
        </w:numPr>
      </w:pPr>
      <w:r w:rsidRPr="00B47508">
        <w:t>As per the provisions of </w:t>
      </w:r>
      <w:r w:rsidRPr="00B47508">
        <w:rPr>
          <w:b/>
          <w:bCs/>
        </w:rPr>
        <w:t>Section 16</w:t>
      </w:r>
      <w:r w:rsidRPr="00B47508">
        <w:t> of the CGST Act, 2017, a registered taxpayer is entitled to claim Input Tax Credit (ITC) on the tax paid on purchases. However, if there are purchase returns or debit notes, the net ITC should be claimed after adjusting for any credit notes received from the supplier.</w:t>
      </w:r>
    </w:p>
    <w:p w14:paraId="38147DB5" w14:textId="39D3D8AC" w:rsidR="00B47508" w:rsidRPr="00B47508" w:rsidRDefault="00B47508" w:rsidP="00B47508">
      <w:pPr>
        <w:numPr>
          <w:ilvl w:val="0"/>
          <w:numId w:val="1"/>
        </w:numPr>
      </w:pPr>
      <w:r w:rsidRPr="00B47508">
        <w:t>The adjustment of ITC for purchase returns and debit notes is governed by </w:t>
      </w:r>
      <w:r w:rsidRPr="00B47508">
        <w:rPr>
          <w:b/>
          <w:bCs/>
        </w:rPr>
        <w:t>Section 34</w:t>
      </w:r>
      <w:r w:rsidRPr="00B47508">
        <w:t> of the CGST Act, 2017, which outlines the procedure for issuing credit notes and debit notes. The credit note issued by the supplier reduces the value of input tax credit to which the recipient is entitled.</w:t>
      </w:r>
    </w:p>
    <w:p w14:paraId="05275376" w14:textId="2E97C6B4" w:rsidR="00B47508" w:rsidRPr="00B47508" w:rsidRDefault="00B47508" w:rsidP="00B47508">
      <w:pPr>
        <w:numPr>
          <w:ilvl w:val="0"/>
          <w:numId w:val="1"/>
        </w:numPr>
      </w:pPr>
      <w:r w:rsidRPr="00B47508">
        <w:rPr>
          <w:b/>
          <w:bCs/>
        </w:rPr>
        <w:t>Rule 37</w:t>
      </w:r>
      <w:r w:rsidRPr="00B47508">
        <w:t> of the CGST Rules, 2017 also supports this approach, specifying that ITC should be reduced in the case of purchase returns when credit notes are issued by the supplier, and the adjustment is made in the </w:t>
      </w:r>
      <w:r w:rsidRPr="00B47508">
        <w:rPr>
          <w:b/>
          <w:bCs/>
        </w:rPr>
        <w:t>GSTR-3B</w:t>
      </w:r>
      <w:r w:rsidRPr="00B47508">
        <w:t> of the period in which the credit note is issued.</w:t>
      </w:r>
    </w:p>
    <w:p w14:paraId="50B98D04" w14:textId="2F8ED2A4" w:rsidR="00B47508" w:rsidRPr="00B47508" w:rsidRDefault="00B47508" w:rsidP="00B47508">
      <w:pPr>
        <w:numPr>
          <w:ilvl w:val="0"/>
          <w:numId w:val="1"/>
        </w:numPr>
      </w:pPr>
      <w:r w:rsidRPr="00B47508">
        <w:t>Therefore, we have claimed the net ITC by reducing the amount of credit notes issued by the supplier, as the net effect of the debit note and credit note represents the actual amount of taxable purchase for which ITC is available. This approach ensures compliance with </w:t>
      </w:r>
      <w:r w:rsidRPr="00B47508">
        <w:rPr>
          <w:b/>
          <w:bCs/>
        </w:rPr>
        <w:t>Section 34</w:t>
      </w:r>
      <w:r w:rsidRPr="00B47508">
        <w:t> and </w:t>
      </w:r>
      <w:r w:rsidRPr="00B47508">
        <w:rPr>
          <w:b/>
          <w:bCs/>
        </w:rPr>
        <w:t>Rule 37</w:t>
      </w:r>
      <w:r w:rsidRPr="00B47508">
        <w:t> of the CGST Rules.</w:t>
      </w:r>
    </w:p>
    <w:p w14:paraId="7963A04D" w14:textId="77777777" w:rsidR="00B47508" w:rsidRPr="00B47508" w:rsidRDefault="00B47508" w:rsidP="00B47508">
      <w:r w:rsidRPr="00B47508">
        <w:rPr>
          <w:b/>
          <w:bCs/>
        </w:rPr>
        <w:lastRenderedPageBreak/>
        <w:t>2. Legal Justification for the Adjustment:</w:t>
      </w:r>
    </w:p>
    <w:p w14:paraId="7E099F9B" w14:textId="1F4E1E54" w:rsidR="00B47508" w:rsidRPr="00B47508" w:rsidRDefault="00B47508" w:rsidP="00B47508">
      <w:pPr>
        <w:numPr>
          <w:ilvl w:val="0"/>
          <w:numId w:val="2"/>
        </w:numPr>
      </w:pPr>
      <w:r w:rsidRPr="00B47508">
        <w:t>The net ITC adjustment method is supported by the principle of adjusting the credit to reflect the actual value of goods or services received, as reflected in </w:t>
      </w:r>
      <w:r w:rsidRPr="00B47508">
        <w:rPr>
          <w:b/>
          <w:bCs/>
        </w:rPr>
        <w:t>Section 16</w:t>
      </w:r>
      <w:r w:rsidRPr="00B47508">
        <w:t> and </w:t>
      </w:r>
      <w:r w:rsidRPr="00B47508">
        <w:rPr>
          <w:b/>
          <w:bCs/>
        </w:rPr>
        <w:t>Section 34</w:t>
      </w:r>
      <w:r w:rsidRPr="00B47508">
        <w:t>. The credit note reduces the amount of ITC to which the recipient is entitled, ensuring that no excess credit is claimed. This approach is in line with the GST law`s intent to allow only the genuine credit on actual transactions.</w:t>
      </w:r>
    </w:p>
    <w:p w14:paraId="523D0467" w14:textId="77777777" w:rsidR="00B47508" w:rsidRPr="00B47508" w:rsidRDefault="00B47508" w:rsidP="00B47508">
      <w:pPr>
        <w:numPr>
          <w:ilvl w:val="0"/>
          <w:numId w:val="2"/>
        </w:numPr>
      </w:pPr>
      <w:r w:rsidRPr="00B47508">
        <w:t>Case Law Reference:</w:t>
      </w:r>
    </w:p>
    <w:p w14:paraId="09DED071" w14:textId="22D422D8" w:rsidR="00B47508" w:rsidRPr="00B47508" w:rsidRDefault="00B47508" w:rsidP="00B47508">
      <w:pPr>
        <w:numPr>
          <w:ilvl w:val="1"/>
          <w:numId w:val="2"/>
        </w:numPr>
      </w:pPr>
      <w:r w:rsidRPr="00B47508">
        <w:t>In the case of M/s. Tata Motor Ltd </w:t>
      </w:r>
      <w:r w:rsidRPr="00B47508">
        <w:rPr>
          <w:b/>
          <w:bCs/>
        </w:rPr>
        <w:t>[2023] (Rajasthan)</w:t>
      </w:r>
      <w:r w:rsidRPr="00B47508">
        <w:t xml:space="preserve">, the court observed that a perusal of the above order would reveal that the coordinate bench was of the opinion that the provision was being questioned on the ground of workability/difficulty in collecting certificate/proof from the recipient regarding Reversal of </w:t>
      </w:r>
      <w:proofErr w:type="spellStart"/>
      <w:r w:rsidRPr="00B47508">
        <w:t>itc</w:t>
      </w:r>
      <w:proofErr w:type="spellEnd"/>
      <w:r w:rsidRPr="00B47508">
        <w:t xml:space="preserve"> and, therefore, called upon the Union of India to place before it appropriate suggested mechanism. However, the mechanism is yet to be placed before the </w:t>
      </w:r>
      <w:proofErr w:type="gramStart"/>
      <w:r w:rsidRPr="00B47508">
        <w:t>Court..</w:t>
      </w:r>
      <w:proofErr w:type="gramEnd"/>
    </w:p>
    <w:p w14:paraId="43EF3D8B" w14:textId="48E56157" w:rsidR="00B47508" w:rsidRPr="00B47508" w:rsidRDefault="00B47508" w:rsidP="00B47508">
      <w:pPr>
        <w:numPr>
          <w:ilvl w:val="1"/>
          <w:numId w:val="2"/>
        </w:numPr>
      </w:pPr>
      <w:r w:rsidRPr="00B47508">
        <w:t>In the case of M/s. UOI v. M/s. Hindustan Unilever Ltd. </w:t>
      </w:r>
      <w:r w:rsidRPr="00B47508">
        <w:rPr>
          <w:b/>
          <w:bCs/>
        </w:rPr>
        <w:t>[2023] (Rajasthan)</w:t>
      </w:r>
      <w:r w:rsidRPr="00B47508">
        <w:t>, the court emphasized that the net ITC method, i.e., after adjusting for credit notes, is in line with the provisions of the GST Act and is an accepted approach under the law.</w:t>
      </w:r>
    </w:p>
    <w:p w14:paraId="4C18C3B4" w14:textId="77777777" w:rsidR="00B47508" w:rsidRPr="00B47508" w:rsidRDefault="00B47508" w:rsidP="00B47508">
      <w:r w:rsidRPr="00B47508">
        <w:rPr>
          <w:b/>
          <w:bCs/>
        </w:rPr>
        <w:t>3. Department`s Insistence on Different Approach:</w:t>
      </w:r>
    </w:p>
    <w:p w14:paraId="6D18B1CC" w14:textId="77777777" w:rsidR="00B47508" w:rsidRPr="00B47508" w:rsidRDefault="00B47508" w:rsidP="00B47508">
      <w:pPr>
        <w:numPr>
          <w:ilvl w:val="0"/>
          <w:numId w:val="3"/>
        </w:numPr>
      </w:pPr>
      <w:r w:rsidRPr="00B47508">
        <w:t>We understand the department’s concerns; however, the approach we have followed aligns with the CGST Act and GST Rules. The net ITC claimed after accounting for credit notes accurately reflects the amount of tax paid on taxable purchases.</w:t>
      </w:r>
    </w:p>
    <w:p w14:paraId="6769BE0B" w14:textId="1113B08D" w:rsidR="00B47508" w:rsidRPr="00B47508" w:rsidRDefault="00B47508" w:rsidP="00B47508">
      <w:pPr>
        <w:numPr>
          <w:ilvl w:val="0"/>
          <w:numId w:val="3"/>
        </w:numPr>
      </w:pPr>
      <w:r w:rsidRPr="00B47508">
        <w:t>We kindly request the department to review the legal provisions and case law referenced above, as they support our method of claiming net ITC. The adjustments made were valid and in accordance with </w:t>
      </w:r>
      <w:r w:rsidRPr="00B47508">
        <w:rPr>
          <w:b/>
          <w:bCs/>
        </w:rPr>
        <w:t>Section 34</w:t>
      </w:r>
      <w:r w:rsidRPr="00B47508">
        <w:t> of the CGST Act, and there is no reason to believe that a different approach should be adopted.</w:t>
      </w:r>
    </w:p>
    <w:p w14:paraId="5EAC8B3A" w14:textId="77777777" w:rsidR="00B47508" w:rsidRPr="00B47508" w:rsidRDefault="00B47508" w:rsidP="00B47508">
      <w:r w:rsidRPr="00B47508">
        <w:rPr>
          <w:b/>
          <w:bCs/>
        </w:rPr>
        <w:t>4. Request for Acceptance of ITC Claimed:</w:t>
      </w:r>
    </w:p>
    <w:p w14:paraId="1C662B1B" w14:textId="77777777" w:rsidR="00B47508" w:rsidRPr="00B47508" w:rsidRDefault="00B47508" w:rsidP="00B47508">
      <w:pPr>
        <w:numPr>
          <w:ilvl w:val="0"/>
          <w:numId w:val="4"/>
        </w:numPr>
      </w:pPr>
      <w:r w:rsidRPr="00B47508">
        <w:t>In light of the above legal provisions and case law, we respectfully request that the department accept the ITC claimed by us for the financial year 2021-22, as it was claimed after due adjustment for credit notes and purchase returns, in full compliance with the applicable GST provisions.</w:t>
      </w:r>
    </w:p>
    <w:p w14:paraId="16906807" w14:textId="77777777" w:rsidR="00B47508" w:rsidRPr="00B47508" w:rsidRDefault="00B47508" w:rsidP="00B47508">
      <w:r w:rsidRPr="00B47508">
        <w:rPr>
          <w:b/>
          <w:bCs/>
        </w:rPr>
        <w:t>5. Conclusion:</w:t>
      </w:r>
    </w:p>
    <w:p w14:paraId="3CF39761" w14:textId="77777777" w:rsidR="00B47508" w:rsidRPr="00B47508" w:rsidRDefault="00B47508" w:rsidP="00B47508">
      <w:r w:rsidRPr="00B47508">
        <w:t>We trust that this clarification will address the department`s concerns regarding the method of ITC adjustment. We request the department to kindly drop the demand or concerns raised and accept our ITC claims as per the correct legal provisions.</w:t>
      </w:r>
    </w:p>
    <w:p w14:paraId="68033EF9" w14:textId="77777777" w:rsidR="00B47508" w:rsidRPr="00B47508" w:rsidRDefault="00B47508" w:rsidP="00B47508">
      <w:r w:rsidRPr="00B47508">
        <w:t>We remain available for any further clarifications or documentation that you may require to resolve this matter.</w:t>
      </w:r>
    </w:p>
    <w:p w14:paraId="5F93D562" w14:textId="77777777" w:rsidR="00B47508" w:rsidRPr="00B47508" w:rsidRDefault="00B47508" w:rsidP="00B47508">
      <w:r w:rsidRPr="00B47508">
        <w:rPr>
          <w:b/>
          <w:bCs/>
        </w:rPr>
        <w:t>Yours sincerely,</w:t>
      </w:r>
    </w:p>
    <w:p w14:paraId="5D0F2787"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1D06"/>
    <w:multiLevelType w:val="multilevel"/>
    <w:tmpl w:val="6FEA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2E5224"/>
    <w:multiLevelType w:val="multilevel"/>
    <w:tmpl w:val="0C50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F76A75"/>
    <w:multiLevelType w:val="multilevel"/>
    <w:tmpl w:val="D28AA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827A3B"/>
    <w:multiLevelType w:val="multilevel"/>
    <w:tmpl w:val="0D4C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4996007">
    <w:abstractNumId w:val="3"/>
  </w:num>
  <w:num w:numId="2" w16cid:durableId="1105077493">
    <w:abstractNumId w:val="2"/>
  </w:num>
  <w:num w:numId="3" w16cid:durableId="1343316698">
    <w:abstractNumId w:val="0"/>
  </w:num>
  <w:num w:numId="4" w16cid:durableId="1957445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08"/>
    <w:rsid w:val="00031CAE"/>
    <w:rsid w:val="00327C4E"/>
    <w:rsid w:val="00447B58"/>
    <w:rsid w:val="005237F3"/>
    <w:rsid w:val="00B47508"/>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4AF7E"/>
  <w15:chartTrackingRefBased/>
  <w15:docId w15:val="{450A57F1-623A-4ABD-8B32-36DDCB6C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5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75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75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75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75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7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5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75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5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75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75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7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508"/>
    <w:rPr>
      <w:rFonts w:eastAsiaTheme="majorEastAsia" w:cstheme="majorBidi"/>
      <w:color w:val="272727" w:themeColor="text1" w:themeTint="D8"/>
    </w:rPr>
  </w:style>
  <w:style w:type="paragraph" w:styleId="Title">
    <w:name w:val="Title"/>
    <w:basedOn w:val="Normal"/>
    <w:next w:val="Normal"/>
    <w:link w:val="TitleChar"/>
    <w:uiPriority w:val="10"/>
    <w:qFormat/>
    <w:rsid w:val="00B47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508"/>
    <w:pPr>
      <w:spacing w:before="160"/>
      <w:jc w:val="center"/>
    </w:pPr>
    <w:rPr>
      <w:i/>
      <w:iCs/>
      <w:color w:val="404040" w:themeColor="text1" w:themeTint="BF"/>
    </w:rPr>
  </w:style>
  <w:style w:type="character" w:customStyle="1" w:styleId="QuoteChar">
    <w:name w:val="Quote Char"/>
    <w:basedOn w:val="DefaultParagraphFont"/>
    <w:link w:val="Quote"/>
    <w:uiPriority w:val="29"/>
    <w:rsid w:val="00B47508"/>
    <w:rPr>
      <w:i/>
      <w:iCs/>
      <w:color w:val="404040" w:themeColor="text1" w:themeTint="BF"/>
    </w:rPr>
  </w:style>
  <w:style w:type="paragraph" w:styleId="ListParagraph">
    <w:name w:val="List Paragraph"/>
    <w:basedOn w:val="Normal"/>
    <w:uiPriority w:val="34"/>
    <w:qFormat/>
    <w:rsid w:val="00B47508"/>
    <w:pPr>
      <w:ind w:left="720"/>
      <w:contextualSpacing/>
    </w:pPr>
  </w:style>
  <w:style w:type="character" w:styleId="IntenseEmphasis">
    <w:name w:val="Intense Emphasis"/>
    <w:basedOn w:val="DefaultParagraphFont"/>
    <w:uiPriority w:val="21"/>
    <w:qFormat/>
    <w:rsid w:val="00B47508"/>
    <w:rPr>
      <w:i/>
      <w:iCs/>
      <w:color w:val="2F5496" w:themeColor="accent1" w:themeShade="BF"/>
    </w:rPr>
  </w:style>
  <w:style w:type="paragraph" w:styleId="IntenseQuote">
    <w:name w:val="Intense Quote"/>
    <w:basedOn w:val="Normal"/>
    <w:next w:val="Normal"/>
    <w:link w:val="IntenseQuoteChar"/>
    <w:uiPriority w:val="30"/>
    <w:qFormat/>
    <w:rsid w:val="00B475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7508"/>
    <w:rPr>
      <w:i/>
      <w:iCs/>
      <w:color w:val="2F5496" w:themeColor="accent1" w:themeShade="BF"/>
    </w:rPr>
  </w:style>
  <w:style w:type="character" w:styleId="IntenseReference">
    <w:name w:val="Intense Reference"/>
    <w:basedOn w:val="DefaultParagraphFont"/>
    <w:uiPriority w:val="32"/>
    <w:qFormat/>
    <w:rsid w:val="00B47508"/>
    <w:rPr>
      <w:b/>
      <w:bCs/>
      <w:smallCaps/>
      <w:color w:val="2F5496" w:themeColor="accent1" w:themeShade="BF"/>
      <w:spacing w:val="5"/>
    </w:rPr>
  </w:style>
  <w:style w:type="character" w:styleId="Hyperlink">
    <w:name w:val="Hyperlink"/>
    <w:basedOn w:val="DefaultParagraphFont"/>
    <w:uiPriority w:val="99"/>
    <w:unhideWhenUsed/>
    <w:rsid w:val="00B47508"/>
    <w:rPr>
      <w:color w:val="0563C1" w:themeColor="hyperlink"/>
      <w:u w:val="single"/>
    </w:rPr>
  </w:style>
  <w:style w:type="character" w:styleId="UnresolvedMention">
    <w:name w:val="Unresolved Mention"/>
    <w:basedOn w:val="DefaultParagraphFont"/>
    <w:uiPriority w:val="99"/>
    <w:semiHidden/>
    <w:unhideWhenUsed/>
    <w:rsid w:val="00B47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2025-10-30T08:42:00Z</dcterms:created>
  <dcterms:modified xsi:type="dcterms:W3CDTF">2025-10-30T08:45:00Z</dcterms:modified>
</cp:coreProperties>
</file>