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B8052D" w:rsidRPr="00B8052D" w14:paraId="652477EB" w14:textId="77777777">
        <w:trPr>
          <w:jc w:val="center"/>
        </w:trPr>
        <w:tc>
          <w:tcPr>
            <w:tcW w:w="0" w:type="auto"/>
            <w:shd w:val="clear" w:color="auto" w:fill="FFFFFF"/>
            <w:vAlign w:val="center"/>
            <w:hideMark/>
          </w:tcPr>
          <w:p w14:paraId="37E0FFE4" w14:textId="77777777" w:rsidR="00B8052D" w:rsidRPr="00B8052D" w:rsidRDefault="00B8052D" w:rsidP="00B8052D">
            <w:r w:rsidRPr="00B8052D">
              <w:rPr>
                <w:b/>
                <w:bCs/>
              </w:rPr>
              <w:t>BEFORE THE______________ JURIDICTION OF SGST (APPEALS), JAIPUR</w:t>
            </w:r>
          </w:p>
          <w:p w14:paraId="4DC5A6D8" w14:textId="77777777" w:rsidR="00B8052D" w:rsidRPr="00B8052D" w:rsidRDefault="00B8052D" w:rsidP="00B8052D">
            <w:r w:rsidRPr="00B8052D">
              <w:rPr>
                <w:b/>
                <w:bCs/>
              </w:rPr>
              <w:t>Ref.: ________________ (APPEALLANT’S DETAILS)</w:t>
            </w:r>
          </w:p>
          <w:p w14:paraId="329E7E37" w14:textId="77777777" w:rsidR="00B8052D" w:rsidRPr="00B8052D" w:rsidRDefault="00B8052D" w:rsidP="00B8052D">
            <w:r w:rsidRPr="00B8052D">
              <w:rPr>
                <w:b/>
                <w:bCs/>
              </w:rPr>
              <w:t>Appeal against Order Reference No. ------------ Dated ----------</w:t>
            </w:r>
          </w:p>
          <w:p w14:paraId="055CE458" w14:textId="77777777" w:rsidR="00B8052D" w:rsidRPr="00B8052D" w:rsidRDefault="00B8052D" w:rsidP="00B8052D">
            <w:r w:rsidRPr="00B8052D">
              <w:rPr>
                <w:b/>
                <w:bCs/>
              </w:rPr>
              <w:t>STATEMENT OF FACTS</w:t>
            </w:r>
          </w:p>
          <w:p w14:paraId="57B0A7B5" w14:textId="77777777" w:rsidR="00B8052D" w:rsidRPr="00B8052D" w:rsidRDefault="00B8052D" w:rsidP="00B8052D">
            <w:r w:rsidRPr="00B8052D">
              <w:rPr>
                <w:b/>
                <w:bCs/>
              </w:rPr>
              <w:t>1)</w:t>
            </w:r>
            <w:r w:rsidRPr="00B8052D">
              <w:t> That </w:t>
            </w:r>
            <w:r w:rsidRPr="00B8052D">
              <w:rPr>
                <w:b/>
                <w:bCs/>
              </w:rPr>
              <w:t>&lt;Name of the Applicant&gt;</w:t>
            </w:r>
            <w:r w:rsidRPr="00B8052D">
              <w:t>, &lt;Regd. Address&gt; having GSTIN -----------(herein after called as “the Appellant”) are engaged in &lt;nature of business.&gt;</w:t>
            </w:r>
          </w:p>
          <w:p w14:paraId="2F1EBD3F" w14:textId="6D873CBA" w:rsidR="00B8052D" w:rsidRPr="00B8052D" w:rsidRDefault="00B8052D" w:rsidP="00B8052D">
            <w:r w:rsidRPr="00B8052D">
              <w:rPr>
                <w:b/>
                <w:bCs/>
              </w:rPr>
              <w:t>2)</w:t>
            </w:r>
            <w:r w:rsidRPr="00B8052D">
              <w:t xml:space="preserve"> That during the scrutiny of records, it was observed by the department that the Appellant have availed ITC after last date of </w:t>
            </w:r>
            <w:proofErr w:type="spellStart"/>
            <w:r w:rsidRPr="00B8052D">
              <w:t>availment</w:t>
            </w:r>
            <w:proofErr w:type="spellEnd"/>
            <w:r w:rsidRPr="00B8052D">
              <w:t> </w:t>
            </w:r>
            <w:r w:rsidRPr="00B8052D">
              <w:rPr>
                <w:b/>
                <w:bCs/>
              </w:rPr>
              <w:t>u/s 16</w:t>
            </w:r>
            <w:r w:rsidRPr="00B8052D">
              <w:t>(4) of the CGST Act, 2017 in </w:t>
            </w:r>
            <w:r w:rsidRPr="00B8052D">
              <w:rPr>
                <w:b/>
                <w:bCs/>
              </w:rPr>
              <w:t>GSTR 3B</w:t>
            </w:r>
            <w:r w:rsidRPr="00B8052D">
              <w:t> as compared to ITC available in </w:t>
            </w:r>
            <w:r w:rsidRPr="00B8052D">
              <w:rPr>
                <w:b/>
                <w:bCs/>
              </w:rPr>
              <w:t>GSTR 2A</w:t>
            </w:r>
            <w:r w:rsidRPr="00B8052D">
              <w:t xml:space="preserve"> for </w:t>
            </w:r>
            <w:proofErr w:type="gramStart"/>
            <w:r w:rsidRPr="00B8052D">
              <w:t>Rs.------</w:t>
            </w:r>
            <w:proofErr w:type="gramEnd"/>
            <w:r w:rsidRPr="00B8052D">
              <w:t>during the financial year -----</w:t>
            </w:r>
          </w:p>
          <w:p w14:paraId="494EE258" w14:textId="77777777" w:rsidR="00B8052D" w:rsidRPr="00B8052D" w:rsidRDefault="00B8052D" w:rsidP="00B8052D">
            <w:r w:rsidRPr="00B8052D">
              <w:rPr>
                <w:b/>
                <w:bCs/>
              </w:rPr>
              <w:t>3)</w:t>
            </w:r>
            <w:r w:rsidRPr="00B8052D">
              <w:t xml:space="preserve"> That the Learned Authority alleged that the Appellant wrongly availed ITC of Rs. --------/- as </w:t>
            </w:r>
            <w:proofErr w:type="gramStart"/>
            <w:r w:rsidRPr="00B8052D">
              <w:t>under:-</w:t>
            </w:r>
            <w:proofErr w:type="gramEnd"/>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4350"/>
              <w:gridCol w:w="1857"/>
              <w:gridCol w:w="1857"/>
              <w:gridCol w:w="1638"/>
            </w:tblGrid>
            <w:tr w:rsidR="00B8052D" w:rsidRPr="00B8052D" w14:paraId="4AB021C8" w14:textId="77777777">
              <w:tc>
                <w:tcPr>
                  <w:tcW w:w="645" w:type="dxa"/>
                  <w:tcBorders>
                    <w:top w:val="outset" w:sz="6" w:space="0" w:color="auto"/>
                    <w:left w:val="outset" w:sz="6" w:space="0" w:color="auto"/>
                    <w:bottom w:val="outset" w:sz="6" w:space="0" w:color="auto"/>
                    <w:right w:val="outset" w:sz="6" w:space="0" w:color="auto"/>
                  </w:tcBorders>
                  <w:hideMark/>
                </w:tcPr>
                <w:p w14:paraId="724E163E" w14:textId="77777777" w:rsidR="00B8052D" w:rsidRPr="00B8052D" w:rsidRDefault="00B8052D" w:rsidP="00B8052D">
                  <w:r w:rsidRPr="00B8052D">
                    <w:t>F.Y.</w:t>
                  </w:r>
                </w:p>
              </w:tc>
              <w:tc>
                <w:tcPr>
                  <w:tcW w:w="3585" w:type="dxa"/>
                  <w:tcBorders>
                    <w:top w:val="outset" w:sz="6" w:space="0" w:color="auto"/>
                    <w:left w:val="outset" w:sz="6" w:space="0" w:color="auto"/>
                    <w:bottom w:val="outset" w:sz="6" w:space="0" w:color="auto"/>
                    <w:right w:val="outset" w:sz="6" w:space="0" w:color="auto"/>
                  </w:tcBorders>
                  <w:hideMark/>
                </w:tcPr>
                <w:p w14:paraId="38B84548" w14:textId="77777777" w:rsidR="00B8052D" w:rsidRPr="00B8052D" w:rsidRDefault="00B8052D" w:rsidP="00B8052D">
                  <w:r w:rsidRPr="00B8052D">
                    <w:t>PARTICULARS</w:t>
                  </w:r>
                </w:p>
              </w:tc>
              <w:tc>
                <w:tcPr>
                  <w:tcW w:w="1530" w:type="dxa"/>
                  <w:tcBorders>
                    <w:top w:val="outset" w:sz="6" w:space="0" w:color="auto"/>
                    <w:left w:val="outset" w:sz="6" w:space="0" w:color="auto"/>
                    <w:bottom w:val="outset" w:sz="6" w:space="0" w:color="auto"/>
                    <w:right w:val="outset" w:sz="6" w:space="0" w:color="auto"/>
                  </w:tcBorders>
                  <w:hideMark/>
                </w:tcPr>
                <w:p w14:paraId="10469F45" w14:textId="77777777" w:rsidR="00B8052D" w:rsidRPr="00B8052D" w:rsidRDefault="00B8052D" w:rsidP="00B8052D">
                  <w:r w:rsidRPr="00B8052D">
                    <w:t>IGST</w:t>
                  </w:r>
                </w:p>
              </w:tc>
              <w:tc>
                <w:tcPr>
                  <w:tcW w:w="1530" w:type="dxa"/>
                  <w:tcBorders>
                    <w:top w:val="outset" w:sz="6" w:space="0" w:color="auto"/>
                    <w:left w:val="outset" w:sz="6" w:space="0" w:color="auto"/>
                    <w:bottom w:val="outset" w:sz="6" w:space="0" w:color="auto"/>
                    <w:right w:val="outset" w:sz="6" w:space="0" w:color="auto"/>
                  </w:tcBorders>
                  <w:hideMark/>
                </w:tcPr>
                <w:p w14:paraId="0058D1D1" w14:textId="77777777" w:rsidR="00B8052D" w:rsidRPr="00B8052D" w:rsidRDefault="00B8052D" w:rsidP="00B8052D">
                  <w:r w:rsidRPr="00B8052D">
                    <w:t>CGST</w:t>
                  </w:r>
                </w:p>
              </w:tc>
              <w:tc>
                <w:tcPr>
                  <w:tcW w:w="1350" w:type="dxa"/>
                  <w:tcBorders>
                    <w:top w:val="outset" w:sz="6" w:space="0" w:color="auto"/>
                    <w:left w:val="outset" w:sz="6" w:space="0" w:color="auto"/>
                    <w:bottom w:val="outset" w:sz="6" w:space="0" w:color="auto"/>
                    <w:right w:val="outset" w:sz="6" w:space="0" w:color="auto"/>
                  </w:tcBorders>
                  <w:hideMark/>
                </w:tcPr>
                <w:p w14:paraId="6A75F7CB" w14:textId="77777777" w:rsidR="00B8052D" w:rsidRPr="00B8052D" w:rsidRDefault="00B8052D" w:rsidP="00B8052D">
                  <w:r w:rsidRPr="00B8052D">
                    <w:t>SGST</w:t>
                  </w:r>
                </w:p>
              </w:tc>
            </w:tr>
            <w:tr w:rsidR="00B8052D" w:rsidRPr="00B8052D" w14:paraId="1705A95C" w14:textId="77777777">
              <w:tc>
                <w:tcPr>
                  <w:tcW w:w="645" w:type="dxa"/>
                  <w:tcBorders>
                    <w:top w:val="outset" w:sz="6" w:space="0" w:color="auto"/>
                    <w:left w:val="outset" w:sz="6" w:space="0" w:color="auto"/>
                    <w:bottom w:val="outset" w:sz="6" w:space="0" w:color="auto"/>
                    <w:right w:val="outset" w:sz="6" w:space="0" w:color="auto"/>
                  </w:tcBorders>
                  <w:hideMark/>
                </w:tcPr>
                <w:p w14:paraId="620CC142" w14:textId="77777777" w:rsidR="00B8052D" w:rsidRPr="00B8052D" w:rsidRDefault="00B8052D" w:rsidP="00B8052D">
                  <w:r w:rsidRPr="00B8052D">
                    <w:t> </w:t>
                  </w:r>
                </w:p>
              </w:tc>
              <w:tc>
                <w:tcPr>
                  <w:tcW w:w="3585" w:type="dxa"/>
                  <w:tcBorders>
                    <w:top w:val="outset" w:sz="6" w:space="0" w:color="auto"/>
                    <w:left w:val="outset" w:sz="6" w:space="0" w:color="auto"/>
                    <w:bottom w:val="outset" w:sz="6" w:space="0" w:color="auto"/>
                    <w:right w:val="outset" w:sz="6" w:space="0" w:color="auto"/>
                  </w:tcBorders>
                  <w:hideMark/>
                </w:tcPr>
                <w:p w14:paraId="1E5EE562" w14:textId="3F463087" w:rsidR="00B8052D" w:rsidRPr="00B8052D" w:rsidRDefault="00B8052D" w:rsidP="00B8052D">
                  <w:r w:rsidRPr="00B8052D">
                    <w:t>ITC availed as per </w:t>
                  </w:r>
                  <w:r w:rsidRPr="00B8052D">
                    <w:rPr>
                      <w:b/>
                      <w:bCs/>
                    </w:rPr>
                    <w:t>GSTR-3B</w:t>
                  </w:r>
                </w:p>
              </w:tc>
              <w:tc>
                <w:tcPr>
                  <w:tcW w:w="1530" w:type="dxa"/>
                  <w:tcBorders>
                    <w:top w:val="outset" w:sz="6" w:space="0" w:color="auto"/>
                    <w:left w:val="outset" w:sz="6" w:space="0" w:color="auto"/>
                    <w:bottom w:val="outset" w:sz="6" w:space="0" w:color="auto"/>
                    <w:right w:val="outset" w:sz="6" w:space="0" w:color="auto"/>
                  </w:tcBorders>
                  <w:hideMark/>
                </w:tcPr>
                <w:p w14:paraId="3992A35D" w14:textId="77777777" w:rsidR="00B8052D" w:rsidRPr="00B8052D" w:rsidRDefault="00B8052D" w:rsidP="00B8052D">
                  <w:r w:rsidRPr="00B8052D">
                    <w:t> </w:t>
                  </w:r>
                </w:p>
              </w:tc>
              <w:tc>
                <w:tcPr>
                  <w:tcW w:w="1530" w:type="dxa"/>
                  <w:tcBorders>
                    <w:top w:val="outset" w:sz="6" w:space="0" w:color="auto"/>
                    <w:left w:val="outset" w:sz="6" w:space="0" w:color="auto"/>
                    <w:bottom w:val="outset" w:sz="6" w:space="0" w:color="auto"/>
                    <w:right w:val="outset" w:sz="6" w:space="0" w:color="auto"/>
                  </w:tcBorders>
                  <w:hideMark/>
                </w:tcPr>
                <w:p w14:paraId="4991FA8E" w14:textId="77777777" w:rsidR="00B8052D" w:rsidRPr="00B8052D" w:rsidRDefault="00B8052D" w:rsidP="00B8052D">
                  <w:r w:rsidRPr="00B8052D">
                    <w:t> </w:t>
                  </w:r>
                </w:p>
              </w:tc>
              <w:tc>
                <w:tcPr>
                  <w:tcW w:w="1350" w:type="dxa"/>
                  <w:tcBorders>
                    <w:top w:val="outset" w:sz="6" w:space="0" w:color="auto"/>
                    <w:left w:val="outset" w:sz="6" w:space="0" w:color="auto"/>
                    <w:bottom w:val="outset" w:sz="6" w:space="0" w:color="auto"/>
                    <w:right w:val="outset" w:sz="6" w:space="0" w:color="auto"/>
                  </w:tcBorders>
                  <w:hideMark/>
                </w:tcPr>
                <w:p w14:paraId="0045F647" w14:textId="77777777" w:rsidR="00B8052D" w:rsidRPr="00B8052D" w:rsidRDefault="00B8052D" w:rsidP="00B8052D">
                  <w:r w:rsidRPr="00B8052D">
                    <w:t> </w:t>
                  </w:r>
                </w:p>
              </w:tc>
            </w:tr>
            <w:tr w:rsidR="00B8052D" w:rsidRPr="00B8052D" w14:paraId="1D6BD87C" w14:textId="77777777">
              <w:tc>
                <w:tcPr>
                  <w:tcW w:w="645" w:type="dxa"/>
                  <w:tcBorders>
                    <w:top w:val="outset" w:sz="6" w:space="0" w:color="auto"/>
                    <w:left w:val="outset" w:sz="6" w:space="0" w:color="auto"/>
                    <w:bottom w:val="outset" w:sz="6" w:space="0" w:color="auto"/>
                    <w:right w:val="outset" w:sz="6" w:space="0" w:color="auto"/>
                  </w:tcBorders>
                  <w:hideMark/>
                </w:tcPr>
                <w:p w14:paraId="4F3EDE4D" w14:textId="77777777" w:rsidR="00B8052D" w:rsidRPr="00B8052D" w:rsidRDefault="00B8052D" w:rsidP="00B8052D">
                  <w:r w:rsidRPr="00B8052D">
                    <w:t> </w:t>
                  </w:r>
                </w:p>
              </w:tc>
              <w:tc>
                <w:tcPr>
                  <w:tcW w:w="3585" w:type="dxa"/>
                  <w:tcBorders>
                    <w:top w:val="outset" w:sz="6" w:space="0" w:color="auto"/>
                    <w:left w:val="outset" w:sz="6" w:space="0" w:color="auto"/>
                    <w:bottom w:val="outset" w:sz="6" w:space="0" w:color="auto"/>
                    <w:right w:val="outset" w:sz="6" w:space="0" w:color="auto"/>
                  </w:tcBorders>
                  <w:hideMark/>
                </w:tcPr>
                <w:p w14:paraId="39E31ACD" w14:textId="0C33F91F" w:rsidR="00B8052D" w:rsidRPr="00B8052D" w:rsidRDefault="00B8052D" w:rsidP="00B8052D">
                  <w:r w:rsidRPr="00B8052D">
                    <w:t>ITC availed as per </w:t>
                  </w:r>
                  <w:r w:rsidRPr="00B8052D">
                    <w:rPr>
                      <w:b/>
                      <w:bCs/>
                    </w:rPr>
                    <w:t>GSTR-2A</w:t>
                  </w:r>
                </w:p>
              </w:tc>
              <w:tc>
                <w:tcPr>
                  <w:tcW w:w="1530" w:type="dxa"/>
                  <w:tcBorders>
                    <w:top w:val="outset" w:sz="6" w:space="0" w:color="auto"/>
                    <w:left w:val="outset" w:sz="6" w:space="0" w:color="auto"/>
                    <w:bottom w:val="outset" w:sz="6" w:space="0" w:color="auto"/>
                    <w:right w:val="outset" w:sz="6" w:space="0" w:color="auto"/>
                  </w:tcBorders>
                  <w:hideMark/>
                </w:tcPr>
                <w:p w14:paraId="58880CED" w14:textId="77777777" w:rsidR="00B8052D" w:rsidRPr="00B8052D" w:rsidRDefault="00B8052D" w:rsidP="00B8052D">
                  <w:r w:rsidRPr="00B8052D">
                    <w:t> </w:t>
                  </w:r>
                </w:p>
              </w:tc>
              <w:tc>
                <w:tcPr>
                  <w:tcW w:w="1530" w:type="dxa"/>
                  <w:tcBorders>
                    <w:top w:val="outset" w:sz="6" w:space="0" w:color="auto"/>
                    <w:left w:val="outset" w:sz="6" w:space="0" w:color="auto"/>
                    <w:bottom w:val="outset" w:sz="6" w:space="0" w:color="auto"/>
                    <w:right w:val="outset" w:sz="6" w:space="0" w:color="auto"/>
                  </w:tcBorders>
                  <w:hideMark/>
                </w:tcPr>
                <w:p w14:paraId="7664D3DC" w14:textId="77777777" w:rsidR="00B8052D" w:rsidRPr="00B8052D" w:rsidRDefault="00B8052D" w:rsidP="00B8052D">
                  <w:r w:rsidRPr="00B8052D">
                    <w:t> </w:t>
                  </w:r>
                </w:p>
              </w:tc>
              <w:tc>
                <w:tcPr>
                  <w:tcW w:w="1350" w:type="dxa"/>
                  <w:tcBorders>
                    <w:top w:val="outset" w:sz="6" w:space="0" w:color="auto"/>
                    <w:left w:val="outset" w:sz="6" w:space="0" w:color="auto"/>
                    <w:bottom w:val="outset" w:sz="6" w:space="0" w:color="auto"/>
                    <w:right w:val="outset" w:sz="6" w:space="0" w:color="auto"/>
                  </w:tcBorders>
                  <w:hideMark/>
                </w:tcPr>
                <w:p w14:paraId="1520911E" w14:textId="77777777" w:rsidR="00B8052D" w:rsidRPr="00B8052D" w:rsidRDefault="00B8052D" w:rsidP="00B8052D">
                  <w:r w:rsidRPr="00B8052D">
                    <w:t> </w:t>
                  </w:r>
                </w:p>
              </w:tc>
            </w:tr>
            <w:tr w:rsidR="00B8052D" w:rsidRPr="00B8052D" w14:paraId="0244CA6A" w14:textId="77777777">
              <w:tc>
                <w:tcPr>
                  <w:tcW w:w="645" w:type="dxa"/>
                  <w:tcBorders>
                    <w:top w:val="outset" w:sz="6" w:space="0" w:color="auto"/>
                    <w:left w:val="outset" w:sz="6" w:space="0" w:color="auto"/>
                    <w:bottom w:val="outset" w:sz="6" w:space="0" w:color="auto"/>
                    <w:right w:val="outset" w:sz="6" w:space="0" w:color="auto"/>
                  </w:tcBorders>
                  <w:hideMark/>
                </w:tcPr>
                <w:p w14:paraId="4D5CC372" w14:textId="77777777" w:rsidR="00B8052D" w:rsidRPr="00B8052D" w:rsidRDefault="00B8052D" w:rsidP="00B8052D">
                  <w:r w:rsidRPr="00B8052D">
                    <w:t> </w:t>
                  </w:r>
                </w:p>
              </w:tc>
              <w:tc>
                <w:tcPr>
                  <w:tcW w:w="3585" w:type="dxa"/>
                  <w:tcBorders>
                    <w:top w:val="outset" w:sz="6" w:space="0" w:color="auto"/>
                    <w:left w:val="outset" w:sz="6" w:space="0" w:color="auto"/>
                    <w:bottom w:val="outset" w:sz="6" w:space="0" w:color="auto"/>
                    <w:right w:val="outset" w:sz="6" w:space="0" w:color="auto"/>
                  </w:tcBorders>
                  <w:hideMark/>
                </w:tcPr>
                <w:p w14:paraId="7AC2C14E" w14:textId="77777777" w:rsidR="00B8052D" w:rsidRPr="00B8052D" w:rsidRDefault="00B8052D" w:rsidP="00B8052D">
                  <w:r w:rsidRPr="00B8052D">
                    <w:t>Difference</w:t>
                  </w:r>
                </w:p>
              </w:tc>
              <w:tc>
                <w:tcPr>
                  <w:tcW w:w="1530" w:type="dxa"/>
                  <w:tcBorders>
                    <w:top w:val="outset" w:sz="6" w:space="0" w:color="auto"/>
                    <w:left w:val="outset" w:sz="6" w:space="0" w:color="auto"/>
                    <w:bottom w:val="outset" w:sz="6" w:space="0" w:color="auto"/>
                    <w:right w:val="outset" w:sz="6" w:space="0" w:color="auto"/>
                  </w:tcBorders>
                  <w:hideMark/>
                </w:tcPr>
                <w:p w14:paraId="1C7EC5D3" w14:textId="77777777" w:rsidR="00B8052D" w:rsidRPr="00B8052D" w:rsidRDefault="00B8052D" w:rsidP="00B8052D">
                  <w:r w:rsidRPr="00B8052D">
                    <w:t> </w:t>
                  </w:r>
                </w:p>
              </w:tc>
              <w:tc>
                <w:tcPr>
                  <w:tcW w:w="1530" w:type="dxa"/>
                  <w:tcBorders>
                    <w:top w:val="outset" w:sz="6" w:space="0" w:color="auto"/>
                    <w:left w:val="outset" w:sz="6" w:space="0" w:color="auto"/>
                    <w:bottom w:val="outset" w:sz="6" w:space="0" w:color="auto"/>
                    <w:right w:val="outset" w:sz="6" w:space="0" w:color="auto"/>
                  </w:tcBorders>
                  <w:hideMark/>
                </w:tcPr>
                <w:p w14:paraId="4677E620" w14:textId="77777777" w:rsidR="00B8052D" w:rsidRPr="00B8052D" w:rsidRDefault="00B8052D" w:rsidP="00B8052D">
                  <w:r w:rsidRPr="00B8052D">
                    <w:t> </w:t>
                  </w:r>
                </w:p>
              </w:tc>
              <w:tc>
                <w:tcPr>
                  <w:tcW w:w="1350" w:type="dxa"/>
                  <w:tcBorders>
                    <w:top w:val="outset" w:sz="6" w:space="0" w:color="auto"/>
                    <w:left w:val="outset" w:sz="6" w:space="0" w:color="auto"/>
                    <w:bottom w:val="outset" w:sz="6" w:space="0" w:color="auto"/>
                    <w:right w:val="outset" w:sz="6" w:space="0" w:color="auto"/>
                  </w:tcBorders>
                  <w:hideMark/>
                </w:tcPr>
                <w:p w14:paraId="00C4357E" w14:textId="77777777" w:rsidR="00B8052D" w:rsidRPr="00B8052D" w:rsidRDefault="00B8052D" w:rsidP="00B8052D">
                  <w:r w:rsidRPr="00B8052D">
                    <w:t> </w:t>
                  </w:r>
                </w:p>
              </w:tc>
            </w:tr>
          </w:tbl>
          <w:p w14:paraId="2415FB5C" w14:textId="6ACBBBAE" w:rsidR="00B8052D" w:rsidRPr="00B8052D" w:rsidRDefault="00B8052D" w:rsidP="00B8052D">
            <w:r w:rsidRPr="00B8052D">
              <w:rPr>
                <w:b/>
                <w:bCs/>
              </w:rPr>
              <w:t>4)</w:t>
            </w:r>
            <w:r w:rsidRPr="00B8052D">
              <w:t> That the Learned Audit Authority vide </w:t>
            </w:r>
            <w:r w:rsidRPr="00B8052D">
              <w:rPr>
                <w:b/>
                <w:bCs/>
              </w:rPr>
              <w:t>ASMT-10</w:t>
            </w:r>
            <w:r w:rsidRPr="00B8052D">
              <w:t> ARN No. ----------- dated ----------- has intimated about this discrepancy. The copy of </w:t>
            </w:r>
            <w:r w:rsidRPr="00B8052D">
              <w:rPr>
                <w:b/>
                <w:bCs/>
              </w:rPr>
              <w:t>ASMT-10</w:t>
            </w:r>
            <w:r w:rsidRPr="00B8052D">
              <w:t> dated is enclosed herewith as </w:t>
            </w:r>
            <w:r w:rsidRPr="00B8052D">
              <w:rPr>
                <w:b/>
                <w:bCs/>
              </w:rPr>
              <w:t>Annexure-A</w:t>
            </w:r>
            <w:r w:rsidRPr="00B8052D">
              <w:t>. Based on this, the Learned Authority issued a Show Cause Notice under Section -------of the Act having Reference No. ------------- dated ----------- along with </w:t>
            </w:r>
            <w:r w:rsidRPr="00B8052D">
              <w:rPr>
                <w:b/>
                <w:bCs/>
              </w:rPr>
              <w:t>DRC-01</w:t>
            </w:r>
            <w:r w:rsidRPr="00B8052D">
              <w:t xml:space="preserve"> dated ---------.  The copy of Show Cause Notice dated -------- </w:t>
            </w:r>
            <w:proofErr w:type="spellStart"/>
            <w:r w:rsidRPr="00B8052D">
              <w:t>alongwith</w:t>
            </w:r>
            <w:proofErr w:type="spellEnd"/>
            <w:r w:rsidRPr="00B8052D">
              <w:t xml:space="preserve"> copy of </w:t>
            </w:r>
            <w:r w:rsidRPr="00B8052D">
              <w:rPr>
                <w:b/>
                <w:bCs/>
              </w:rPr>
              <w:t>DRC-01</w:t>
            </w:r>
            <w:r w:rsidRPr="00B8052D">
              <w:t> is enclosed herewith as </w:t>
            </w:r>
            <w:r w:rsidRPr="00B8052D">
              <w:rPr>
                <w:b/>
                <w:bCs/>
              </w:rPr>
              <w:t>Annexure-B</w:t>
            </w:r>
          </w:p>
          <w:p w14:paraId="7A58B5E5" w14:textId="365D4B85" w:rsidR="00B8052D" w:rsidRPr="00B8052D" w:rsidRDefault="00B8052D" w:rsidP="00B8052D">
            <w:r w:rsidRPr="00B8052D">
              <w:rPr>
                <w:b/>
                <w:bCs/>
              </w:rPr>
              <w:t>5)</w:t>
            </w:r>
            <w:r w:rsidRPr="00B8052D">
              <w:t xml:space="preserve"> That the Learned Adjudicating Authority (hereinafter referred to as “the Learned AA”) Ex </w:t>
            </w:r>
            <w:proofErr w:type="spellStart"/>
            <w:r w:rsidRPr="00B8052D">
              <w:t>Parte</w:t>
            </w:r>
            <w:proofErr w:type="spellEnd"/>
            <w:r w:rsidRPr="00B8052D">
              <w:t xml:space="preserve"> has confirmed the demand vide order in GST </w:t>
            </w:r>
            <w:r w:rsidRPr="00B8052D">
              <w:rPr>
                <w:b/>
                <w:bCs/>
              </w:rPr>
              <w:t>DRC-07</w:t>
            </w:r>
            <w:r w:rsidRPr="00B8052D">
              <w:t> having Reference No. -------------- dated ----------. The Learned Authority has confirmed the demand of Rs. --------- along with Interest of Rs. ---------- and penalty of Rs. ---------- The certified copy of such Order dated ---------- is enclosed and marked herewith as </w:t>
            </w:r>
            <w:r w:rsidRPr="00B8052D">
              <w:rPr>
                <w:b/>
                <w:bCs/>
              </w:rPr>
              <w:t>Annexure C</w:t>
            </w:r>
            <w:r w:rsidRPr="00B8052D">
              <w:t>.</w:t>
            </w:r>
          </w:p>
          <w:p w14:paraId="38470FF6" w14:textId="77777777" w:rsidR="00B8052D" w:rsidRPr="00B8052D" w:rsidRDefault="00B8052D" w:rsidP="00B8052D">
            <w:r w:rsidRPr="00B8052D">
              <w:t xml:space="preserve">Being aggrieved by the impugned order passed by the &lt;jurisdiction&gt; of SGST (Appeals), the Appellant has filed the present appeal before your </w:t>
            </w:r>
            <w:proofErr w:type="spellStart"/>
            <w:r w:rsidRPr="00B8052D">
              <w:t>Honour</w:t>
            </w:r>
            <w:proofErr w:type="spellEnd"/>
            <w:r w:rsidRPr="00B8052D">
              <w:t>.</w:t>
            </w:r>
          </w:p>
          <w:p w14:paraId="193C12AE" w14:textId="77777777" w:rsidR="00B8052D" w:rsidRPr="00B8052D" w:rsidRDefault="00B8052D" w:rsidP="00B8052D">
            <w:r w:rsidRPr="00B8052D">
              <w:rPr>
                <w:b/>
                <w:bCs/>
              </w:rPr>
              <w:t>Appellant</w:t>
            </w:r>
          </w:p>
          <w:p w14:paraId="30A56D89" w14:textId="77777777" w:rsidR="00B8052D" w:rsidRPr="00B8052D" w:rsidRDefault="00B8052D" w:rsidP="00B8052D">
            <w:r w:rsidRPr="00B8052D">
              <w:rPr>
                <w:b/>
                <w:bCs/>
              </w:rPr>
              <w:t>Place:                                                                                                                                           &lt;Signature&gt;</w:t>
            </w:r>
          </w:p>
          <w:p w14:paraId="5567EFD1" w14:textId="77777777" w:rsidR="00B8052D" w:rsidRPr="00B8052D" w:rsidRDefault="00B8052D" w:rsidP="00B8052D">
            <w:r w:rsidRPr="00B8052D">
              <w:rPr>
                <w:b/>
                <w:bCs/>
              </w:rPr>
              <w:t>Date:                                                                                                                          Name of the Applicant:</w:t>
            </w:r>
          </w:p>
          <w:p w14:paraId="0F6816F8" w14:textId="77777777" w:rsidR="00B8052D" w:rsidRPr="00B8052D" w:rsidRDefault="00B8052D" w:rsidP="00B8052D">
            <w:r w:rsidRPr="00B8052D">
              <w:rPr>
                <w:b/>
                <w:bCs/>
              </w:rPr>
              <w:t>Verification</w:t>
            </w:r>
          </w:p>
          <w:p w14:paraId="2745ED1B" w14:textId="77777777" w:rsidR="00B8052D" w:rsidRPr="00B8052D" w:rsidRDefault="00B8052D" w:rsidP="00B8052D">
            <w:r w:rsidRPr="00B8052D">
              <w:rPr>
                <w:b/>
                <w:bCs/>
              </w:rPr>
              <w:lastRenderedPageBreak/>
              <w:t>I, &lt;..................... &gt;, hereby solemnly affirm and declare that the information given hereinabove is true and correct to the best of my knowledge and belief and nothing has been concealed therefrom.</w:t>
            </w:r>
          </w:p>
          <w:p w14:paraId="40A5E373" w14:textId="77777777" w:rsidR="00B8052D" w:rsidRPr="00B8052D" w:rsidRDefault="00B8052D" w:rsidP="00B8052D">
            <w:r w:rsidRPr="00B8052D">
              <w:rPr>
                <w:b/>
                <w:bCs/>
              </w:rPr>
              <w:t>Place:                                                                                                                                           &lt;Signature&gt;</w:t>
            </w:r>
          </w:p>
          <w:p w14:paraId="371386EC" w14:textId="77777777" w:rsidR="00B8052D" w:rsidRPr="00B8052D" w:rsidRDefault="00B8052D" w:rsidP="00B8052D">
            <w:r w:rsidRPr="00B8052D">
              <w:rPr>
                <w:b/>
                <w:bCs/>
              </w:rPr>
              <w:t>Date:                                                                                                                          Name of the Applicant:</w:t>
            </w:r>
          </w:p>
          <w:p w14:paraId="032BE4E7" w14:textId="77777777" w:rsidR="00B8052D" w:rsidRPr="00B8052D" w:rsidRDefault="00B8052D" w:rsidP="00B8052D">
            <w:r w:rsidRPr="00B8052D">
              <w:rPr>
                <w:b/>
                <w:bCs/>
              </w:rPr>
              <w:t>Appellant</w:t>
            </w:r>
          </w:p>
          <w:p w14:paraId="45F92B3D" w14:textId="77777777" w:rsidR="00B8052D" w:rsidRPr="00B8052D" w:rsidRDefault="00B8052D" w:rsidP="00B8052D">
            <w:r w:rsidRPr="00B8052D">
              <w:rPr>
                <w:b/>
                <w:bCs/>
              </w:rPr>
              <w:t>Place:                                                                                                                                           &lt;Signature&gt;</w:t>
            </w:r>
          </w:p>
          <w:p w14:paraId="02FC9B48" w14:textId="77777777" w:rsidR="00B8052D" w:rsidRPr="00B8052D" w:rsidRDefault="00B8052D" w:rsidP="00B8052D">
            <w:r w:rsidRPr="00B8052D">
              <w:rPr>
                <w:b/>
                <w:bCs/>
              </w:rPr>
              <w:t>Date:                                                                                                                          Name of the Applicant:</w:t>
            </w:r>
          </w:p>
          <w:p w14:paraId="2FDDD4A7" w14:textId="77777777" w:rsidR="00B8052D" w:rsidRPr="00B8052D" w:rsidRDefault="00B8052D" w:rsidP="00B8052D">
            <w:r w:rsidRPr="00B8052D">
              <w:rPr>
                <w:b/>
                <w:bCs/>
              </w:rPr>
              <w:t>BEFORE THE______________ JURIDICTION OF SGST (APPEALS), JAIPUR</w:t>
            </w:r>
          </w:p>
          <w:p w14:paraId="6C33C6AF" w14:textId="77777777" w:rsidR="00B8052D" w:rsidRPr="00B8052D" w:rsidRDefault="00B8052D" w:rsidP="00B8052D">
            <w:r w:rsidRPr="00B8052D">
              <w:rPr>
                <w:b/>
                <w:bCs/>
              </w:rPr>
              <w:t>Ref.: ________________ (APPEALLANT’S DETAILS)</w:t>
            </w:r>
          </w:p>
          <w:p w14:paraId="195A2B60" w14:textId="77777777" w:rsidR="00B8052D" w:rsidRPr="00B8052D" w:rsidRDefault="00B8052D" w:rsidP="00B8052D">
            <w:r w:rsidRPr="00B8052D">
              <w:rPr>
                <w:b/>
                <w:bCs/>
              </w:rPr>
              <w:t>Appeal against Order Reference No. ------------ Dated ----------</w:t>
            </w:r>
          </w:p>
          <w:p w14:paraId="333EC8D5" w14:textId="77777777" w:rsidR="00B8052D" w:rsidRPr="00B8052D" w:rsidRDefault="00B8052D" w:rsidP="00B8052D">
            <w:r w:rsidRPr="00B8052D">
              <w:rPr>
                <w:b/>
                <w:bCs/>
                <w:i/>
                <w:iCs/>
                <w:u w:val="single"/>
              </w:rPr>
              <w:t>GROUNDS OF APPEAL</w:t>
            </w:r>
          </w:p>
          <w:p w14:paraId="0AAB6DBF" w14:textId="37C0AA87" w:rsidR="00B8052D" w:rsidRPr="00B8052D" w:rsidRDefault="00B8052D" w:rsidP="00B8052D">
            <w:r w:rsidRPr="00B8052D">
              <w:rPr>
                <w:b/>
                <w:bCs/>
              </w:rPr>
              <w:t>1)</w:t>
            </w:r>
            <w:r w:rsidRPr="00B8052D">
              <w:t xml:space="preserve"> That the order passed by the Department is against judicial discipline as the same is based on show cause notice issued on </w:t>
            </w:r>
            <w:proofErr w:type="gramStart"/>
            <w:r w:rsidRPr="00B8052D">
              <w:t>-----------..</w:t>
            </w:r>
            <w:proofErr w:type="gramEnd"/>
            <w:r w:rsidRPr="00B8052D">
              <w:t> </w:t>
            </w:r>
            <w:r w:rsidRPr="00B8052D">
              <w:rPr>
                <w:b/>
                <w:bCs/>
              </w:rPr>
              <w:t>Section 16</w:t>
            </w:r>
            <w:r w:rsidRPr="00B8052D">
              <w:t>(4) is procedural in nature and cannot take away the substantive right of a taxpayer who has availed input tax credit as per the provisions of the Central Goods and Services Tax Act, 2017 and the Rules prescribed thereunder.</w:t>
            </w:r>
          </w:p>
          <w:p w14:paraId="6D9DEE1C" w14:textId="77777777" w:rsidR="00B8052D" w:rsidRPr="00B8052D" w:rsidRDefault="00B8052D" w:rsidP="00B8052D">
            <w:r w:rsidRPr="00B8052D">
              <w:rPr>
                <w:b/>
                <w:bCs/>
              </w:rPr>
              <w:t>A. SCN is Void-ab-initio:</w:t>
            </w:r>
          </w:p>
          <w:p w14:paraId="5EC48B13" w14:textId="77777777" w:rsidR="00B8052D" w:rsidRPr="00B8052D" w:rsidRDefault="00B8052D" w:rsidP="00B8052D">
            <w:r w:rsidRPr="00B8052D">
              <w:rPr>
                <w:b/>
                <w:bCs/>
              </w:rPr>
              <w:t>2)</w:t>
            </w:r>
            <w:r w:rsidRPr="00B8052D">
              <w:t> That the Learned Adjudicating Authority (Learned AA) has passed the impugned order Ex-</w:t>
            </w:r>
            <w:proofErr w:type="spellStart"/>
            <w:r w:rsidRPr="00B8052D">
              <w:t>Parte</w:t>
            </w:r>
            <w:proofErr w:type="spellEnd"/>
            <w:r w:rsidRPr="00B8052D">
              <w:t>. Thus, the show cause notice and consequent Order in Original issued against the principles of natural justice and therefore, bad in law and needs to be quashed on this ground alone</w:t>
            </w:r>
          </w:p>
          <w:p w14:paraId="35184F1D" w14:textId="77777777" w:rsidR="00B8052D" w:rsidRPr="00B8052D" w:rsidRDefault="00B8052D" w:rsidP="00B8052D">
            <w:r w:rsidRPr="00B8052D">
              <w:rPr>
                <w:b/>
                <w:bCs/>
              </w:rPr>
              <w:t>B. Filing of return with late fees cures the defect of late filing:</w:t>
            </w:r>
          </w:p>
          <w:p w14:paraId="009FE501" w14:textId="7831AC85" w:rsidR="00B8052D" w:rsidRPr="00B8052D" w:rsidRDefault="00B8052D" w:rsidP="00B8052D">
            <w:r w:rsidRPr="00B8052D">
              <w:rPr>
                <w:b/>
                <w:bCs/>
              </w:rPr>
              <w:t>3)</w:t>
            </w:r>
            <w:r w:rsidRPr="00B8052D">
              <w:t> At the outset, we would like to submit that the above referred notice directing us to reverse the ITC is not in accordance with law as the ITC availed by us is not irregular. Once a return has been filed with a late fee, the provision of </w:t>
            </w:r>
            <w:r w:rsidRPr="00B8052D">
              <w:rPr>
                <w:b/>
                <w:bCs/>
              </w:rPr>
              <w:t>Section 16</w:t>
            </w:r>
            <w:r w:rsidRPr="00B8052D">
              <w:t>(4) should not defeat a substantial claim of ITC which is otherwise allowable under the provisions CGST Act, 2017. Though the returns are filed belatedly, but late fees have been paid and by paying late fee, the delay in filing return has been regularized. The case law of </w:t>
            </w:r>
            <w:proofErr w:type="spellStart"/>
            <w:r w:rsidRPr="00B8052D">
              <w:rPr>
                <w:i/>
                <w:iCs/>
              </w:rPr>
              <w:t>Mr</w:t>
            </w:r>
            <w:proofErr w:type="spellEnd"/>
            <w:r w:rsidRPr="00B8052D">
              <w:rPr>
                <w:i/>
                <w:iCs/>
              </w:rPr>
              <w:t xml:space="preserve"> </w:t>
            </w:r>
            <w:proofErr w:type="spellStart"/>
            <w:r w:rsidRPr="00B8052D">
              <w:rPr>
                <w:i/>
                <w:iCs/>
              </w:rPr>
              <w:t>Rashmikant</w:t>
            </w:r>
            <w:proofErr w:type="spellEnd"/>
            <w:r w:rsidRPr="00B8052D">
              <w:rPr>
                <w:i/>
                <w:iCs/>
              </w:rPr>
              <w:t xml:space="preserve"> Kundalia vs Union of India P. 771 of 2014 (Bom.) </w:t>
            </w:r>
            <w:r w:rsidRPr="00B8052D">
              <w:rPr>
                <w:b/>
                <w:bCs/>
                <w:i/>
                <w:iCs/>
              </w:rPr>
              <w:t>[2015] (BOM)</w:t>
            </w:r>
            <w:r w:rsidRPr="00B8052D">
              <w:rPr>
                <w:i/>
                <w:iCs/>
              </w:rPr>
              <w:t xml:space="preserve"> and Howrah Taxpayers’ Association Vs. The Government of West Bengal and </w:t>
            </w:r>
            <w:proofErr w:type="spellStart"/>
            <w:r w:rsidRPr="00B8052D">
              <w:rPr>
                <w:i/>
                <w:iCs/>
              </w:rPr>
              <w:t>Anr</w:t>
            </w:r>
            <w:proofErr w:type="spellEnd"/>
            <w:r w:rsidRPr="00B8052D">
              <w:rPr>
                <w:i/>
                <w:iCs/>
              </w:rPr>
              <w:t>. 2010 SCC Online Cal 2520</w:t>
            </w:r>
            <w:r w:rsidRPr="00B8052D">
              <w:t xml:space="preserve"> comes handy in such submissions. Thus, it can be contented that once the delay has been regularized, such returns have to be construed to be filed within the due date. In </w:t>
            </w:r>
            <w:proofErr w:type="gramStart"/>
            <w:r w:rsidRPr="00B8052D">
              <w:t>fact</w:t>
            </w:r>
            <w:proofErr w:type="gramEnd"/>
            <w:r w:rsidRPr="00B8052D">
              <w:t xml:space="preserve"> once the returns have been filed after payment of applicable late fee under </w:t>
            </w:r>
            <w:r w:rsidRPr="00B8052D">
              <w:rPr>
                <w:b/>
                <w:bCs/>
              </w:rPr>
              <w:t>Section 47</w:t>
            </w:r>
            <w:r w:rsidRPr="00B8052D">
              <w:t> of the CGST Act, 2017, which in fact allows the taxpayer to file the returns beyond the due date, such a return should have been accepted without applying the provision of </w:t>
            </w:r>
            <w:r w:rsidRPr="00B8052D">
              <w:rPr>
                <w:b/>
                <w:bCs/>
              </w:rPr>
              <w:t>Section 16</w:t>
            </w:r>
            <w:r w:rsidRPr="00B8052D">
              <w:t>(4) of the CGST Act, 2017.</w:t>
            </w:r>
          </w:p>
          <w:p w14:paraId="11210632" w14:textId="65FD618C" w:rsidR="00B8052D" w:rsidRPr="00B8052D" w:rsidRDefault="00B8052D" w:rsidP="00B8052D">
            <w:r w:rsidRPr="00B8052D">
              <w:rPr>
                <w:b/>
                <w:bCs/>
              </w:rPr>
              <w:t>C. GSTR 3 was the prescribed Return and not GSTR 3B prior to the retrospective amendment.</w:t>
            </w:r>
          </w:p>
          <w:p w14:paraId="3AF773CC" w14:textId="564FB80E" w:rsidR="00B8052D" w:rsidRPr="00B8052D" w:rsidRDefault="00B8052D" w:rsidP="00B8052D">
            <w:r w:rsidRPr="00B8052D">
              <w:rPr>
                <w:b/>
                <w:bCs/>
              </w:rPr>
              <w:t>4)</w:t>
            </w:r>
            <w:r w:rsidRPr="00B8052D">
              <w:t xml:space="preserve"> The </w:t>
            </w:r>
            <w:proofErr w:type="spellStart"/>
            <w:r w:rsidRPr="00B8052D">
              <w:t>appeallant</w:t>
            </w:r>
            <w:proofErr w:type="spellEnd"/>
            <w:r w:rsidRPr="00B8052D">
              <w:t xml:space="preserve"> submits that under </w:t>
            </w:r>
            <w:r w:rsidRPr="00B8052D">
              <w:rPr>
                <w:b/>
                <w:bCs/>
              </w:rPr>
              <w:t>Section 39</w:t>
            </w:r>
            <w:r w:rsidRPr="00B8052D">
              <w:t>(1) of the CGST Act, 2017 (before it was amended by the </w:t>
            </w:r>
            <w:r w:rsidRPr="00B8052D">
              <w:rPr>
                <w:b/>
                <w:bCs/>
              </w:rPr>
              <w:t>Finance (No. 2) Act, 2019</w:t>
            </w:r>
            <w:r w:rsidRPr="00B8052D">
              <w:t>, w.e.f. 10-11-2020 vide Notification No. </w:t>
            </w:r>
            <w:r w:rsidRPr="00B8052D">
              <w:rPr>
                <w:b/>
                <w:bCs/>
              </w:rPr>
              <w:t>81/2020</w:t>
            </w:r>
            <w:r w:rsidRPr="00B8052D">
              <w:t> – Central Tax dated 10th November, 2020), provided that every taxpayer, except a few special categories of persons, shall furnish a monthly return, electronically, of inward and outward supplies of goods or services or both, input tax credit availed, tax payable, tax paid and such other particulars as may be prescribed, in such form and manner as may be prescribed. </w:t>
            </w:r>
            <w:r w:rsidRPr="00B8052D">
              <w:rPr>
                <w:b/>
                <w:bCs/>
              </w:rPr>
              <w:t>Rule 61</w:t>
            </w:r>
            <w:r w:rsidRPr="00B8052D">
              <w:t> of the CGST Rules, 2017 prescribed the form and manner of submission of monthly return. Sub-rule 1 of </w:t>
            </w:r>
            <w:r w:rsidRPr="00B8052D">
              <w:rPr>
                <w:b/>
                <w:bCs/>
              </w:rPr>
              <w:t>Rule 61</w:t>
            </w:r>
            <w:r w:rsidRPr="00B8052D">
              <w:t> of the CGST Rules provided that the return required to be filed in terms of </w:t>
            </w:r>
            <w:r w:rsidRPr="00B8052D">
              <w:rPr>
                <w:b/>
                <w:bCs/>
              </w:rPr>
              <w:t>Section 39</w:t>
            </w:r>
            <w:r w:rsidRPr="00B8052D">
              <w:t>(1) of the CGST Act was to be furnished in Form </w:t>
            </w:r>
            <w:r w:rsidRPr="00B8052D">
              <w:rPr>
                <w:b/>
                <w:bCs/>
              </w:rPr>
              <w:t>GSTR-3</w:t>
            </w:r>
            <w:r w:rsidRPr="00B8052D">
              <w:t>. It can be submitted that the amendment that </w:t>
            </w:r>
            <w:r w:rsidRPr="00B8052D">
              <w:rPr>
                <w:b/>
                <w:bCs/>
              </w:rPr>
              <w:t>GSTR 3B</w:t>
            </w:r>
            <w:r w:rsidRPr="00B8052D">
              <w:t> was the valid return and not </w:t>
            </w:r>
            <w:r w:rsidRPr="00B8052D">
              <w:rPr>
                <w:b/>
                <w:bCs/>
              </w:rPr>
              <w:t>GSTR 3</w:t>
            </w:r>
            <w:r w:rsidRPr="00B8052D">
              <w:t> came only in 10-11-2020, much after </w:t>
            </w:r>
            <w:r w:rsidRPr="00B8052D">
              <w:rPr>
                <w:b/>
                <w:bCs/>
              </w:rPr>
              <w:t>GSTR 3B</w:t>
            </w:r>
            <w:r w:rsidRPr="00B8052D">
              <w:t> was filed for tax period-------in the instant case. The Tax payer was under the genuine impression that </w:t>
            </w:r>
            <w:r w:rsidRPr="00B8052D">
              <w:rPr>
                <w:b/>
                <w:bCs/>
              </w:rPr>
              <w:t>GSTR 3B</w:t>
            </w:r>
            <w:r w:rsidRPr="00B8052D">
              <w:t> was only a summary form and that the timelines, as applicable to a return i.e. </w:t>
            </w:r>
            <w:r w:rsidRPr="00B8052D">
              <w:rPr>
                <w:b/>
                <w:bCs/>
              </w:rPr>
              <w:t>GSTR 2</w:t>
            </w:r>
            <w:r w:rsidRPr="00B8052D">
              <w:t> and </w:t>
            </w:r>
            <w:r w:rsidRPr="00B8052D">
              <w:rPr>
                <w:b/>
                <w:bCs/>
              </w:rPr>
              <w:t>GSTR 3</w:t>
            </w:r>
            <w:r w:rsidRPr="00B8052D">
              <w:t> would be made applicable only when these forms are operational and notified. If it would have been known that </w:t>
            </w:r>
            <w:r w:rsidRPr="00B8052D">
              <w:rPr>
                <w:b/>
                <w:bCs/>
              </w:rPr>
              <w:t>GSTR 3B</w:t>
            </w:r>
            <w:r w:rsidRPr="00B8052D">
              <w:t> would be notified as returns for the purposes of </w:t>
            </w:r>
            <w:r w:rsidRPr="00B8052D">
              <w:rPr>
                <w:b/>
                <w:bCs/>
              </w:rPr>
              <w:t>Section 39</w:t>
            </w:r>
            <w:r w:rsidRPr="00B8052D">
              <w:t xml:space="preserve">, thus applicable to 16(4), the </w:t>
            </w:r>
            <w:proofErr w:type="spellStart"/>
            <w:r w:rsidRPr="00B8052D">
              <w:t>appeallant</w:t>
            </w:r>
            <w:proofErr w:type="spellEnd"/>
            <w:r w:rsidRPr="00B8052D">
              <w:t xml:space="preserve"> would have been more attentive and careful to the timelines for availing input Tax Credit.</w:t>
            </w:r>
          </w:p>
          <w:p w14:paraId="422230F7" w14:textId="77777777" w:rsidR="00B8052D" w:rsidRPr="00B8052D" w:rsidRDefault="00B8052D" w:rsidP="00B8052D">
            <w:r w:rsidRPr="00B8052D">
              <w:t>Therefore, Show Cause Notice and any order consequent to said SCN is liable to be null and void.</w:t>
            </w:r>
          </w:p>
          <w:p w14:paraId="34BD396A" w14:textId="77777777" w:rsidR="00B8052D" w:rsidRPr="00B8052D" w:rsidRDefault="00B8052D" w:rsidP="00B8052D">
            <w:r w:rsidRPr="00B8052D">
              <w:rPr>
                <w:b/>
                <w:bCs/>
              </w:rPr>
              <w:t>D. The impugned SCN and Order are unsigned</w:t>
            </w:r>
          </w:p>
          <w:p w14:paraId="5A506E80" w14:textId="6F88FCF9" w:rsidR="00B8052D" w:rsidRPr="00B8052D" w:rsidRDefault="00B8052D" w:rsidP="00B8052D">
            <w:r w:rsidRPr="00B8052D">
              <w:rPr>
                <w:b/>
                <w:bCs/>
              </w:rPr>
              <w:t>5)</w:t>
            </w:r>
            <w:r w:rsidRPr="00B8052D">
              <w:t> That the Appellant submits that the impugned SCN and Order in GST </w:t>
            </w:r>
            <w:r w:rsidRPr="00B8052D">
              <w:rPr>
                <w:b/>
                <w:bCs/>
              </w:rPr>
              <w:t>DRC-07</w:t>
            </w:r>
            <w:r w:rsidRPr="00B8052D">
              <w:t xml:space="preserve"> are unsigned and hence cannot be treated as valid documents for initiation of proceedings. From perusal of these </w:t>
            </w:r>
            <w:proofErr w:type="gramStart"/>
            <w:r w:rsidRPr="00B8052D">
              <w:t>documents</w:t>
            </w:r>
            <w:proofErr w:type="gramEnd"/>
            <w:r w:rsidRPr="00B8052D">
              <w:t xml:space="preserve"> it is seen that these documents are not digitally signed. Hence the impugned SCN and order are vague and cryptic and to be quashed on this ground alone.</w:t>
            </w:r>
          </w:p>
          <w:p w14:paraId="5AABF9EB" w14:textId="51FE4DB3" w:rsidR="00B8052D" w:rsidRPr="00B8052D" w:rsidRDefault="00B8052D" w:rsidP="00B8052D">
            <w:r w:rsidRPr="00B8052D">
              <w:rPr>
                <w:b/>
                <w:bCs/>
              </w:rPr>
              <w:t>E. GSTR-3B was only a temporary stop gap arrangement till due date of filing the return in Form GSTR-3 was notified:</w:t>
            </w:r>
          </w:p>
          <w:p w14:paraId="129F88E9" w14:textId="193F0686" w:rsidR="00B8052D" w:rsidRPr="00B8052D" w:rsidRDefault="00B8052D" w:rsidP="00B8052D">
            <w:r w:rsidRPr="00B8052D">
              <w:rPr>
                <w:b/>
                <w:bCs/>
              </w:rPr>
              <w:t>6)</w:t>
            </w:r>
            <w:r w:rsidRPr="00B8052D">
              <w:t> The appellant contents initially, it was decided by the Government to have three returns in a month, i.e. return for outward supplies i.e. </w:t>
            </w:r>
            <w:r w:rsidRPr="00B8052D">
              <w:rPr>
                <w:b/>
                <w:bCs/>
              </w:rPr>
              <w:t>GSTR-1</w:t>
            </w:r>
            <w:r w:rsidRPr="00B8052D">
              <w:t> in terms of </w:t>
            </w:r>
            <w:r w:rsidRPr="00B8052D">
              <w:rPr>
                <w:b/>
                <w:bCs/>
              </w:rPr>
              <w:t>Section 37</w:t>
            </w:r>
            <w:r w:rsidRPr="00B8052D">
              <w:t>, return for inward supplies in terms of </w:t>
            </w:r>
            <w:r w:rsidRPr="00B8052D">
              <w:rPr>
                <w:b/>
                <w:bCs/>
              </w:rPr>
              <w:t>Section 38</w:t>
            </w:r>
            <w:r w:rsidRPr="00B8052D">
              <w:t>, i.e. </w:t>
            </w:r>
            <w:r w:rsidRPr="00B8052D">
              <w:rPr>
                <w:b/>
                <w:bCs/>
              </w:rPr>
              <w:t>GSTR-2</w:t>
            </w:r>
            <w:r w:rsidRPr="00B8052D">
              <w:t> and a combined return in Form </w:t>
            </w:r>
            <w:r w:rsidRPr="00B8052D">
              <w:rPr>
                <w:b/>
                <w:bCs/>
              </w:rPr>
              <w:t>GSTR-3</w:t>
            </w:r>
            <w:r w:rsidRPr="00B8052D">
              <w:t>. However, considering technical glitches in the GSTN portal as well as difficulty faced by the taxpayers it was decided to keep filing of </w:t>
            </w:r>
            <w:r w:rsidRPr="00B8052D">
              <w:rPr>
                <w:b/>
                <w:bCs/>
              </w:rPr>
              <w:t>GSTR-2</w:t>
            </w:r>
            <w:r w:rsidRPr="00B8052D">
              <w:t> and </w:t>
            </w:r>
            <w:r w:rsidRPr="00B8052D">
              <w:rPr>
                <w:b/>
                <w:bCs/>
              </w:rPr>
              <w:t>GSTR-3</w:t>
            </w:r>
            <w:r w:rsidRPr="00B8052D">
              <w:t> in abeyance. Therefore, in order to ease the burden of the taxpayer for some time, it was decided in the </w:t>
            </w:r>
            <w:r w:rsidRPr="00B8052D">
              <w:rPr>
                <w:b/>
                <w:bCs/>
              </w:rPr>
              <w:t>18th GST Council meeting</w:t>
            </w:r>
            <w:r w:rsidRPr="00B8052D">
              <w:t> to allow filing of a shorter return in Form </w:t>
            </w:r>
            <w:r w:rsidRPr="00B8052D">
              <w:rPr>
                <w:b/>
                <w:bCs/>
              </w:rPr>
              <w:t>GSTR-3B</w:t>
            </w:r>
            <w:r w:rsidRPr="00B8052D">
              <w:t> for initial period. It was not introduced as a return in lieu of return required to be filed in Form </w:t>
            </w:r>
            <w:r w:rsidRPr="00B8052D">
              <w:rPr>
                <w:b/>
                <w:bCs/>
              </w:rPr>
              <w:t>GSTR-3</w:t>
            </w:r>
            <w:r w:rsidRPr="00B8052D">
              <w:t>. The return in Form </w:t>
            </w:r>
            <w:r w:rsidRPr="00B8052D">
              <w:rPr>
                <w:b/>
                <w:bCs/>
              </w:rPr>
              <w:t>GSTR-3B</w:t>
            </w:r>
            <w:r w:rsidRPr="00B8052D">
              <w:t> was only a temporary stop gap arrangement till due date of filing the return in Form </w:t>
            </w:r>
            <w:r w:rsidRPr="00B8052D">
              <w:rPr>
                <w:b/>
                <w:bCs/>
              </w:rPr>
              <w:t>GSTR-3</w:t>
            </w:r>
            <w:r w:rsidRPr="00B8052D">
              <w:t> was notified. Notifications were being issued from time to time extending the due date of filing of the return in Form </w:t>
            </w:r>
            <w:r w:rsidRPr="00B8052D">
              <w:rPr>
                <w:b/>
                <w:bCs/>
              </w:rPr>
              <w:t>GSTR- 3</w:t>
            </w:r>
            <w:r w:rsidRPr="00B8052D">
              <w:t>, i.e. return required to be filed under </w:t>
            </w:r>
            <w:r w:rsidRPr="00B8052D">
              <w:rPr>
                <w:b/>
                <w:bCs/>
              </w:rPr>
              <w:t>Section 39</w:t>
            </w:r>
            <w:r w:rsidRPr="00B8052D">
              <w:t> of the CGST Act. It was notified vide Notification No. </w:t>
            </w:r>
            <w:r w:rsidRPr="00B8052D">
              <w:rPr>
                <w:b/>
                <w:bCs/>
              </w:rPr>
              <w:t>44/2018</w:t>
            </w:r>
            <w:r w:rsidRPr="00B8052D">
              <w:t>-Central Tax, dated 10th September, 2018, serial 2, that the time limit for furnishing the details or return, as the case may be, under sub-section (2) of </w:t>
            </w:r>
            <w:r w:rsidRPr="00B8052D">
              <w:rPr>
                <w:b/>
                <w:bCs/>
              </w:rPr>
              <w:t>section 38</w:t>
            </w:r>
            <w:r w:rsidRPr="00B8052D">
              <w:t> and sub-section (1) of </w:t>
            </w:r>
            <w:r w:rsidRPr="00B8052D">
              <w:rPr>
                <w:b/>
                <w:bCs/>
              </w:rPr>
              <w:t>Section 39</w:t>
            </w:r>
            <w:r w:rsidRPr="00B8052D">
              <w:t> of the said Act, for the months of July, 2017 to March, 2019 shall be subsequently notified in the Official Gazette.</w:t>
            </w:r>
          </w:p>
          <w:p w14:paraId="0D5412A3" w14:textId="61828CB2" w:rsidR="00B8052D" w:rsidRPr="00B8052D" w:rsidRDefault="00B8052D" w:rsidP="00B8052D">
            <w:r w:rsidRPr="00B8052D">
              <w:t>Further, the Notification No. </w:t>
            </w:r>
            <w:r w:rsidRPr="00B8052D">
              <w:rPr>
                <w:b/>
                <w:bCs/>
              </w:rPr>
              <w:t>10/2017</w:t>
            </w:r>
            <w:r w:rsidRPr="00B8052D">
              <w:t>-Central Tax, dated 28th June, 2017 which introduced mandatory filing of the return in Form </w:t>
            </w:r>
            <w:r w:rsidRPr="00B8052D">
              <w:rPr>
                <w:b/>
                <w:bCs/>
              </w:rPr>
              <w:t>GSTR-3B</w:t>
            </w:r>
            <w:r w:rsidRPr="00B8052D">
              <w:t> stated that it was a return in lieu of Form </w:t>
            </w:r>
            <w:r w:rsidRPr="00B8052D">
              <w:rPr>
                <w:b/>
                <w:bCs/>
              </w:rPr>
              <w:t>GSTR-3</w:t>
            </w:r>
            <w:r w:rsidRPr="00B8052D">
              <w:t> (</w:t>
            </w:r>
            <w:r w:rsidRPr="00B8052D">
              <w:rPr>
                <w:b/>
                <w:bCs/>
              </w:rPr>
              <w:t>Rule 61</w:t>
            </w:r>
            <w:r w:rsidRPr="00B8052D">
              <w:t>(5)). However, the Government, on realizing its mistake that the return in Form </w:t>
            </w:r>
            <w:r w:rsidRPr="00B8052D">
              <w:rPr>
                <w:b/>
                <w:bCs/>
              </w:rPr>
              <w:t>GSTR-3B</w:t>
            </w:r>
            <w:r w:rsidRPr="00B8052D">
              <w:t> was not intended to be in lieu of Form </w:t>
            </w:r>
            <w:r w:rsidRPr="00B8052D">
              <w:rPr>
                <w:b/>
                <w:bCs/>
              </w:rPr>
              <w:t>GSTR-3</w:t>
            </w:r>
            <w:r w:rsidRPr="00B8052D">
              <w:t>, rectified its mistake retrospectively vide Notification No. </w:t>
            </w:r>
            <w:r w:rsidRPr="00B8052D">
              <w:rPr>
                <w:b/>
                <w:bCs/>
              </w:rPr>
              <w:t>17/2017</w:t>
            </w:r>
            <w:r w:rsidRPr="00B8052D">
              <w:t>-Central Tax, dated 27th July, 2017 and omitted the reference to return in Form </w:t>
            </w:r>
            <w:r w:rsidRPr="00B8052D">
              <w:rPr>
                <w:b/>
                <w:bCs/>
              </w:rPr>
              <w:t>GSTR-3B</w:t>
            </w:r>
            <w:r w:rsidRPr="00B8052D">
              <w:t> being return in lieu of Form </w:t>
            </w:r>
            <w:r w:rsidRPr="00B8052D">
              <w:rPr>
                <w:b/>
                <w:bCs/>
              </w:rPr>
              <w:t>GSTR-3</w:t>
            </w:r>
            <w:r w:rsidRPr="00B8052D">
              <w:t>.</w:t>
            </w:r>
          </w:p>
          <w:p w14:paraId="6D5BAF55" w14:textId="468961BD" w:rsidR="00B8052D" w:rsidRPr="00B8052D" w:rsidRDefault="00B8052D" w:rsidP="00B8052D">
            <w:r w:rsidRPr="00B8052D">
              <w:rPr>
                <w:b/>
                <w:bCs/>
              </w:rPr>
              <w:t>F. Section 16(2) is beginning with a non-obstante clause to the entire Section 16</w:t>
            </w:r>
          </w:p>
          <w:p w14:paraId="716251F4" w14:textId="21212AED" w:rsidR="00B8052D" w:rsidRPr="00B8052D" w:rsidRDefault="00B8052D" w:rsidP="00B8052D">
            <w:r w:rsidRPr="00B8052D">
              <w:rPr>
                <w:b/>
                <w:bCs/>
              </w:rPr>
              <w:t>7)</w:t>
            </w:r>
            <w:r w:rsidRPr="00B8052D">
              <w:t> The appellant wants to submit that </w:t>
            </w:r>
            <w:r w:rsidRPr="00B8052D">
              <w:rPr>
                <w:b/>
                <w:bCs/>
              </w:rPr>
              <w:t>Section 16</w:t>
            </w:r>
            <w:r w:rsidRPr="00B8052D">
              <w:t>(2) is beginning with a non-obstante clause to the entire </w:t>
            </w:r>
            <w:r w:rsidRPr="00B8052D">
              <w:rPr>
                <w:b/>
                <w:bCs/>
              </w:rPr>
              <w:t>Section 16</w:t>
            </w:r>
            <w:r w:rsidRPr="00B8052D">
              <w:t> which means that the same prevails over all other sub-sections in </w:t>
            </w:r>
            <w:r w:rsidRPr="00B8052D">
              <w:rPr>
                <w:b/>
                <w:bCs/>
              </w:rPr>
              <w:t>Section 16</w:t>
            </w:r>
            <w:r w:rsidRPr="00B8052D">
              <w:t>. The conditions of </w:t>
            </w:r>
            <w:r w:rsidRPr="00B8052D">
              <w:rPr>
                <w:b/>
                <w:bCs/>
              </w:rPr>
              <w:t>Section 16</w:t>
            </w:r>
            <w:r w:rsidRPr="00B8052D">
              <w:t>(2) are as follows:</w:t>
            </w:r>
          </w:p>
          <w:p w14:paraId="63EEE411" w14:textId="234A2722" w:rsidR="00B8052D" w:rsidRPr="00B8052D" w:rsidRDefault="00B8052D" w:rsidP="00B8052D">
            <w:pPr>
              <w:numPr>
                <w:ilvl w:val="0"/>
                <w:numId w:val="1"/>
              </w:numPr>
            </w:pPr>
            <w:proofErr w:type="spellStart"/>
            <w:r w:rsidRPr="00B8052D">
              <w:t>Assessees</w:t>
            </w:r>
            <w:proofErr w:type="spellEnd"/>
            <w:r w:rsidRPr="00B8052D">
              <w:t xml:space="preserve"> are in possession of tax invoice/ debit note/ other documents prescribed under </w:t>
            </w:r>
            <w:r w:rsidRPr="00B8052D">
              <w:rPr>
                <w:b/>
                <w:bCs/>
              </w:rPr>
              <w:t>Rule 36</w:t>
            </w:r>
            <w:r w:rsidRPr="00B8052D">
              <w:t> of CGST Rules, 2017;</w:t>
            </w:r>
          </w:p>
          <w:p w14:paraId="5EB045B4" w14:textId="77777777" w:rsidR="00B8052D" w:rsidRPr="00B8052D" w:rsidRDefault="00B8052D" w:rsidP="00B8052D">
            <w:pPr>
              <w:numPr>
                <w:ilvl w:val="0"/>
                <w:numId w:val="1"/>
              </w:numPr>
            </w:pPr>
            <w:proofErr w:type="spellStart"/>
            <w:r w:rsidRPr="00B8052D">
              <w:t>Assessees</w:t>
            </w:r>
            <w:proofErr w:type="spellEnd"/>
            <w:r w:rsidRPr="00B8052D">
              <w:t xml:space="preserve"> have received the goods or services or both;</w:t>
            </w:r>
          </w:p>
          <w:p w14:paraId="2B6EE8F4" w14:textId="3B381A9B" w:rsidR="00B8052D" w:rsidRPr="00B8052D" w:rsidRDefault="00B8052D" w:rsidP="00B8052D">
            <w:pPr>
              <w:numPr>
                <w:ilvl w:val="0"/>
                <w:numId w:val="1"/>
              </w:numPr>
            </w:pPr>
            <w:r w:rsidRPr="00B8052D">
              <w:t>The condition to track whether the tax charged in respect of the inward supply has been actually paid to Government seems impossible as there is no invoice level linkage with </w:t>
            </w:r>
            <w:r w:rsidRPr="00B8052D">
              <w:rPr>
                <w:b/>
                <w:bCs/>
              </w:rPr>
              <w:t>GSTR-3B</w:t>
            </w:r>
            <w:r w:rsidRPr="00B8052D">
              <w:t xml:space="preserve"> of the supplier as it is a summary return. However, the </w:t>
            </w:r>
            <w:proofErr w:type="spellStart"/>
            <w:r w:rsidRPr="00B8052D">
              <w:t>Assessees</w:t>
            </w:r>
            <w:proofErr w:type="spellEnd"/>
            <w:r w:rsidRPr="00B8052D">
              <w:t xml:space="preserve"> would have made payment of tax to the suppliers in respect of which they have availed the input tax credit; and</w:t>
            </w:r>
          </w:p>
          <w:p w14:paraId="58EB94F5" w14:textId="24B45B63" w:rsidR="00B8052D" w:rsidRPr="00B8052D" w:rsidRDefault="00B8052D" w:rsidP="00B8052D">
            <w:pPr>
              <w:numPr>
                <w:ilvl w:val="0"/>
                <w:numId w:val="1"/>
              </w:numPr>
            </w:pPr>
            <w:proofErr w:type="spellStart"/>
            <w:r w:rsidRPr="00B8052D">
              <w:t>Assessees</w:t>
            </w:r>
            <w:proofErr w:type="spellEnd"/>
            <w:r w:rsidRPr="00B8052D">
              <w:t xml:space="preserve"> have filed the return under </w:t>
            </w:r>
            <w:r w:rsidRPr="00B8052D">
              <w:rPr>
                <w:b/>
                <w:bCs/>
              </w:rPr>
              <w:t>Section 39</w:t>
            </w:r>
            <w:r w:rsidRPr="00B8052D">
              <w:t xml:space="preserve"> of CGST Act, 2017. Even though they had filed returns belatedly they have paid late fees and by paying late fee, the delay in filing return has been regularized – </w:t>
            </w:r>
            <w:proofErr w:type="spellStart"/>
            <w:r w:rsidRPr="00B8052D">
              <w:t>Mr</w:t>
            </w:r>
            <w:proofErr w:type="spellEnd"/>
            <w:r w:rsidRPr="00B8052D">
              <w:t xml:space="preserve"> </w:t>
            </w:r>
            <w:proofErr w:type="spellStart"/>
            <w:r w:rsidRPr="00B8052D">
              <w:t>Rashmikant</w:t>
            </w:r>
            <w:proofErr w:type="spellEnd"/>
            <w:r w:rsidRPr="00B8052D">
              <w:t xml:space="preserve"> Kundalia vs Union of India </w:t>
            </w:r>
            <w:proofErr w:type="gramStart"/>
            <w:r w:rsidRPr="00B8052D">
              <w:t>W.P..</w:t>
            </w:r>
            <w:proofErr w:type="gramEnd"/>
            <w:r w:rsidRPr="00B8052D">
              <w:t xml:space="preserve"> 771 of 2014 (Bom.) </w:t>
            </w:r>
            <w:r w:rsidRPr="00B8052D">
              <w:rPr>
                <w:b/>
                <w:bCs/>
              </w:rPr>
              <w:t>[2015] (BOM)</w:t>
            </w:r>
            <w:r w:rsidRPr="00B8052D">
              <w:t xml:space="preserve">, Howrah Taxpayers’ Association Vs. The Government of West Bengal and </w:t>
            </w:r>
            <w:proofErr w:type="spellStart"/>
            <w:r w:rsidRPr="00B8052D">
              <w:t>Anr</w:t>
            </w:r>
            <w:proofErr w:type="spellEnd"/>
            <w:r w:rsidRPr="00B8052D">
              <w:t xml:space="preserve">. 2010 SCC Online Cal 2520 (supra). Hence, once the delay has been </w:t>
            </w:r>
            <w:proofErr w:type="spellStart"/>
            <w:r w:rsidRPr="00B8052D">
              <w:t>regularised</w:t>
            </w:r>
            <w:proofErr w:type="spellEnd"/>
            <w:r w:rsidRPr="00B8052D">
              <w:t xml:space="preserve"> such returns have to be construed to be filed within the due date.</w:t>
            </w:r>
          </w:p>
          <w:p w14:paraId="60BE5D4F" w14:textId="6C72C4DC" w:rsidR="00B8052D" w:rsidRPr="00B8052D" w:rsidRDefault="00B8052D" w:rsidP="00B8052D">
            <w:r w:rsidRPr="00B8052D">
              <w:t xml:space="preserve">From the above submissions, it is clear that the </w:t>
            </w:r>
            <w:proofErr w:type="spellStart"/>
            <w:r w:rsidRPr="00B8052D">
              <w:t>Assessees</w:t>
            </w:r>
            <w:proofErr w:type="spellEnd"/>
            <w:r w:rsidRPr="00B8052D">
              <w:t xml:space="preserve"> have satisfied all the conditions specified under sub-section (2) to </w:t>
            </w:r>
            <w:r w:rsidRPr="00B8052D">
              <w:rPr>
                <w:b/>
                <w:bCs/>
              </w:rPr>
              <w:t>Section 16</w:t>
            </w:r>
            <w:r w:rsidRPr="00B8052D">
              <w:t>. Therefore, they are rightly eligible for ITC availed in the return.</w:t>
            </w:r>
          </w:p>
          <w:p w14:paraId="020E8588" w14:textId="36D067C1" w:rsidR="00B8052D" w:rsidRPr="00B8052D" w:rsidRDefault="00B8052D" w:rsidP="00B8052D">
            <w:r w:rsidRPr="00B8052D">
              <w:rPr>
                <w:b/>
                <w:bCs/>
              </w:rPr>
              <w:t>G. Provisions of Section 16(4) of the CGST Act, 2017 are arbitrary in nature and violation of the provisions of the Constitution of India</w:t>
            </w:r>
          </w:p>
          <w:p w14:paraId="0225601E" w14:textId="36229C30" w:rsidR="00B8052D" w:rsidRPr="00B8052D" w:rsidRDefault="00B8052D" w:rsidP="00B8052D">
            <w:r w:rsidRPr="00B8052D">
              <w:rPr>
                <w:b/>
                <w:bCs/>
              </w:rPr>
              <w:t>8)</w:t>
            </w:r>
            <w:r w:rsidRPr="00B8052D">
              <w:t> The provisions of </w:t>
            </w:r>
            <w:r w:rsidRPr="00B8052D">
              <w:rPr>
                <w:b/>
                <w:bCs/>
              </w:rPr>
              <w:t>Section 16</w:t>
            </w:r>
            <w:r w:rsidRPr="00B8052D">
              <w:t>(4) of the CGST Act, 2017 are manifestly arbitrary and violative of Articles 14, 19(1)(g) and 300A respectively of the Constitution. It can be, inter alia, contended that the appellant cannot be made to suffer by not allowing the ITC on account of the failure on the part of the Department to notify the Forms </w:t>
            </w:r>
            <w:r w:rsidRPr="00B8052D">
              <w:rPr>
                <w:b/>
                <w:bCs/>
              </w:rPr>
              <w:t>GSTR – 2</w:t>
            </w:r>
            <w:r w:rsidRPr="00B8052D">
              <w:t> and </w:t>
            </w:r>
            <w:r w:rsidRPr="00B8052D">
              <w:rPr>
                <w:b/>
                <w:bCs/>
              </w:rPr>
              <w:t>GSTR – 3</w:t>
            </w:r>
            <w:r w:rsidRPr="00B8052D">
              <w:t> respectively. It can also be submitted that the retrospective amendment to </w:t>
            </w:r>
            <w:r w:rsidRPr="00B8052D">
              <w:rPr>
                <w:b/>
                <w:bCs/>
              </w:rPr>
              <w:t>Rule 61</w:t>
            </w:r>
            <w:r w:rsidRPr="00B8052D">
              <w:t> of the CGST Rules, 2017 is also unconstitutional being violative of Article 14 of the Constitution. It can also be submitted that the retrospective amendment to </w:t>
            </w:r>
            <w:r w:rsidRPr="00B8052D">
              <w:rPr>
                <w:b/>
                <w:bCs/>
              </w:rPr>
              <w:t>Rule 61</w:t>
            </w:r>
            <w:r w:rsidRPr="00B8052D">
              <w:t xml:space="preserve">(5) of the Rules is unconstitutional being violative of Article 279A of the Constitution. </w:t>
            </w:r>
            <w:proofErr w:type="spellStart"/>
            <w:r w:rsidRPr="00B8052D">
              <w:t>Assessees</w:t>
            </w:r>
            <w:proofErr w:type="spellEnd"/>
            <w:r w:rsidRPr="00B8052D">
              <w:t xml:space="preserve"> can rely on the judgement of Surat Mercantile Association v. Union of India [2021] 124 taxmann.com 342 (Gujarat), </w:t>
            </w:r>
            <w:r w:rsidRPr="00B8052D">
              <w:rPr>
                <w:b/>
                <w:bCs/>
              </w:rPr>
              <w:t>[2021] (Gujarat)</w:t>
            </w:r>
            <w:r w:rsidRPr="00B8052D">
              <w:t> wherein Notice has been issued to the Department and the matter is still pending.</w:t>
            </w:r>
          </w:p>
          <w:p w14:paraId="6EE50ABB" w14:textId="77777777" w:rsidR="00B8052D" w:rsidRPr="00B8052D" w:rsidRDefault="00B8052D" w:rsidP="00B8052D">
            <w:r w:rsidRPr="00B8052D">
              <w:rPr>
                <w:b/>
                <w:bCs/>
              </w:rPr>
              <w:t>H. Merely because of the delay in making entries within the time fixed, denial of benefit cannot be permitted, as had been held in erstwhile Central Excise law</w:t>
            </w:r>
          </w:p>
          <w:p w14:paraId="63D9A2BC" w14:textId="1566CB84" w:rsidR="00B8052D" w:rsidRPr="00B8052D" w:rsidRDefault="00B8052D" w:rsidP="00B8052D">
            <w:r w:rsidRPr="00B8052D">
              <w:rPr>
                <w:b/>
                <w:bCs/>
              </w:rPr>
              <w:t>9)</w:t>
            </w:r>
            <w:r w:rsidRPr="00B8052D">
              <w:t> The appellant wants to place reliance upon a judgment delivered by the Division Bench of The High Court of Madhya Pradesh in the matter of M/s Bharat Heavy Electricals Limited v/s CEC, Bhopal (MP) </w:t>
            </w:r>
            <w:r w:rsidRPr="00B8052D">
              <w:rPr>
                <w:b/>
                <w:bCs/>
              </w:rPr>
              <w:t>2016 (332) E.L.T. 411 (M.P.)</w:t>
            </w:r>
            <w:r w:rsidRPr="00B8052D">
              <w:t>, para 12, wherein the Division Bench had considered the provisions of Rule 57</w:t>
            </w:r>
            <w:proofErr w:type="gramStart"/>
            <w:r w:rsidRPr="00B8052D">
              <w:t>G(</w:t>
            </w:r>
            <w:proofErr w:type="gramEnd"/>
            <w:r w:rsidRPr="00B8052D">
              <w:t xml:space="preserve">1) of the Central Excise Rules. The Division Bench had found that entries made in the documents were maintained under RG – 23 A Part – I &amp; Part – II. Even though in Part – I the entry was made showing the date of taking </w:t>
            </w:r>
            <w:proofErr w:type="spellStart"/>
            <w:r w:rsidRPr="00B8052D">
              <w:t>availment</w:t>
            </w:r>
            <w:proofErr w:type="spellEnd"/>
            <w:r w:rsidRPr="00B8052D">
              <w:t xml:space="preserve"> of MODVAT credit within the stipulated period of six months, but Part – II, as the date was beyond six months, the facility of MODVAT cannot be extended as </w:t>
            </w:r>
            <w:proofErr w:type="spellStart"/>
            <w:r w:rsidRPr="00B8052D">
              <w:t>assessees</w:t>
            </w:r>
            <w:proofErr w:type="spellEnd"/>
            <w:r w:rsidRPr="00B8052D">
              <w:t xml:space="preserve"> have not shown availing the benefit in accordance with the requirement of the Rules.</w:t>
            </w:r>
          </w:p>
          <w:p w14:paraId="2F44F3C5" w14:textId="40A40482" w:rsidR="00B8052D" w:rsidRPr="00B8052D" w:rsidRDefault="00B8052D" w:rsidP="00B8052D">
            <w:r w:rsidRPr="00B8052D">
              <w:rPr>
                <w:b/>
                <w:bCs/>
              </w:rPr>
              <w:t>10)</w:t>
            </w:r>
            <w:r w:rsidRPr="00B8052D">
              <w:t> </w:t>
            </w:r>
            <w:r w:rsidRPr="00B8052D">
              <w:rPr>
                <w:b/>
                <w:bCs/>
              </w:rPr>
              <w:t>Facility of credit is a vested right, as had been held in erstwhile Central Excise law:</w:t>
            </w:r>
            <w:r w:rsidRPr="00B8052D">
              <w:t> </w:t>
            </w:r>
            <w:proofErr w:type="spellStart"/>
            <w:r w:rsidRPr="00B8052D">
              <w:t>Assessees</w:t>
            </w:r>
            <w:proofErr w:type="spellEnd"/>
            <w:r w:rsidRPr="00B8052D">
              <w:t xml:space="preserve"> can content that the Hon’ble Apex Court in Eicher Motors Ltd v Union of India, </w:t>
            </w:r>
            <w:r w:rsidRPr="00B8052D">
              <w:rPr>
                <w:b/>
                <w:bCs/>
              </w:rPr>
              <w:t>1999 (106) E.L.T. 3 (SC)</w:t>
            </w:r>
            <w:r w:rsidRPr="00B8052D">
              <w:t> had recognized the provision for facility of credit as a vested right. Thus, the credit earned under the GST Act is a property of the taxable person and therefore the denial of ITC is in violation of Article 300A of the Constitution of India. Article 300A provides that no person shall be deprived of his property save by authority of law.</w:t>
            </w:r>
          </w:p>
          <w:p w14:paraId="03488E82" w14:textId="35058437" w:rsidR="00B8052D" w:rsidRPr="00B8052D" w:rsidRDefault="00B8052D" w:rsidP="00B8052D">
            <w:r w:rsidRPr="00B8052D">
              <w:rPr>
                <w:b/>
                <w:bCs/>
              </w:rPr>
              <w:t>I. Substantial benefit cannot be denied due to procedural lapse of mere non-disclosure in GSTR-3B within the due date</w:t>
            </w:r>
          </w:p>
          <w:p w14:paraId="118FBEB6" w14:textId="5B710F55" w:rsidR="00B8052D" w:rsidRPr="00B8052D" w:rsidRDefault="00B8052D" w:rsidP="00B8052D">
            <w:r w:rsidRPr="00B8052D">
              <w:rPr>
                <w:b/>
                <w:bCs/>
              </w:rPr>
              <w:t>11)</w:t>
            </w:r>
            <w:r w:rsidRPr="00B8052D">
              <w:t> Since the details of input tax credit are already available in </w:t>
            </w:r>
            <w:r w:rsidRPr="00B8052D">
              <w:rPr>
                <w:b/>
                <w:bCs/>
              </w:rPr>
              <w:t>GSTR-2A</w:t>
            </w:r>
            <w:r w:rsidRPr="00B8052D">
              <w:t> which is available with the Department prior to due date prescribed under </w:t>
            </w:r>
            <w:r w:rsidRPr="00B8052D">
              <w:rPr>
                <w:b/>
                <w:bCs/>
              </w:rPr>
              <w:t>Section 16</w:t>
            </w:r>
            <w:r w:rsidRPr="00B8052D">
              <w:t xml:space="preserve">(4) and the </w:t>
            </w:r>
            <w:proofErr w:type="spellStart"/>
            <w:r w:rsidRPr="00B8052D">
              <w:t>availment</w:t>
            </w:r>
            <w:proofErr w:type="spellEnd"/>
            <w:r w:rsidRPr="00B8052D">
              <w:t xml:space="preserve"> of such ITC would be a mere disclosure in </w:t>
            </w:r>
            <w:r w:rsidRPr="00B8052D">
              <w:rPr>
                <w:b/>
                <w:bCs/>
              </w:rPr>
              <w:t>GSTR-3B</w:t>
            </w:r>
            <w:r w:rsidRPr="00B8052D">
              <w:t>, therefore, the substantial benefit cannot be denied due to procedural lapse of mere non-disclosure in </w:t>
            </w:r>
            <w:r w:rsidRPr="00B8052D">
              <w:rPr>
                <w:b/>
                <w:bCs/>
              </w:rPr>
              <w:t>GSTR-3B</w:t>
            </w:r>
            <w:r w:rsidRPr="00B8052D">
              <w:t> within the due date.</w:t>
            </w:r>
          </w:p>
          <w:p w14:paraId="52940969" w14:textId="77777777" w:rsidR="00B8052D" w:rsidRPr="00B8052D" w:rsidRDefault="00B8052D" w:rsidP="00B8052D">
            <w:r w:rsidRPr="00B8052D">
              <w:rPr>
                <w:b/>
                <w:bCs/>
              </w:rPr>
              <w:t xml:space="preserve">J. Lex Non </w:t>
            </w:r>
            <w:proofErr w:type="spellStart"/>
            <w:r w:rsidRPr="00B8052D">
              <w:rPr>
                <w:b/>
                <w:bCs/>
              </w:rPr>
              <w:t>Cogit</w:t>
            </w:r>
            <w:proofErr w:type="spellEnd"/>
            <w:r w:rsidRPr="00B8052D">
              <w:rPr>
                <w:b/>
                <w:bCs/>
              </w:rPr>
              <w:t xml:space="preserve"> Ad </w:t>
            </w:r>
            <w:proofErr w:type="spellStart"/>
            <w:r w:rsidRPr="00B8052D">
              <w:rPr>
                <w:b/>
                <w:bCs/>
              </w:rPr>
              <w:t>Impossibilia</w:t>
            </w:r>
            <w:proofErr w:type="spellEnd"/>
            <w:r w:rsidRPr="00B8052D">
              <w:rPr>
                <w:b/>
                <w:bCs/>
              </w:rPr>
              <w:t>:</w:t>
            </w:r>
          </w:p>
          <w:p w14:paraId="1439E1F4" w14:textId="688FC994" w:rsidR="00B8052D" w:rsidRPr="00B8052D" w:rsidRDefault="00B8052D" w:rsidP="00B8052D">
            <w:r w:rsidRPr="00B8052D">
              <w:rPr>
                <w:b/>
                <w:bCs/>
              </w:rPr>
              <w:t>12)</w:t>
            </w:r>
            <w:r w:rsidRPr="00B8052D">
              <w:t> Finally asking the tax payers to comply with </w:t>
            </w:r>
            <w:r w:rsidRPr="00B8052D">
              <w:rPr>
                <w:b/>
                <w:bCs/>
              </w:rPr>
              <w:t>Section 16</w:t>
            </w:r>
            <w:r w:rsidRPr="00B8052D">
              <w:t xml:space="preserve">(4) is against the principle of Lex Non </w:t>
            </w:r>
            <w:proofErr w:type="spellStart"/>
            <w:r w:rsidRPr="00B8052D">
              <w:t>Cogit</w:t>
            </w:r>
            <w:proofErr w:type="spellEnd"/>
            <w:r w:rsidRPr="00B8052D">
              <w:t xml:space="preserve"> Ad </w:t>
            </w:r>
            <w:proofErr w:type="spellStart"/>
            <w:r w:rsidRPr="00B8052D">
              <w:t>Impossibiliae</w:t>
            </w:r>
            <w:proofErr w:type="spellEnd"/>
            <w:r w:rsidRPr="00B8052D">
              <w:t>., the law does not compel a man to do that which he cannot possibly perform. Since the law cannot compel the tax payers to comply with impossible conditions, the proposal to denial of ITC under </w:t>
            </w:r>
            <w:r w:rsidRPr="00B8052D">
              <w:rPr>
                <w:b/>
                <w:bCs/>
              </w:rPr>
              <w:t>Section 16</w:t>
            </w:r>
            <w:r w:rsidRPr="00B8052D">
              <w:t>(4) is not sustainable.</w:t>
            </w:r>
          </w:p>
          <w:p w14:paraId="0B9E1B32" w14:textId="77777777" w:rsidR="00B8052D" w:rsidRPr="00B8052D" w:rsidRDefault="00B8052D" w:rsidP="00B8052D">
            <w:r w:rsidRPr="00B8052D">
              <w:rPr>
                <w:b/>
                <w:bCs/>
              </w:rPr>
              <w:t>K. Submission regarding Penalty</w:t>
            </w:r>
          </w:p>
          <w:p w14:paraId="4B860091" w14:textId="149B2824" w:rsidR="00B8052D" w:rsidRPr="00B8052D" w:rsidRDefault="00B8052D" w:rsidP="00B8052D">
            <w:r w:rsidRPr="00B8052D">
              <w:rPr>
                <w:b/>
                <w:bCs/>
              </w:rPr>
              <w:t>13)</w:t>
            </w:r>
            <w:r w:rsidRPr="00B8052D">
              <w:t> The Appellant submits that it is a well-settled proposition in law that imposition of penalty under </w:t>
            </w:r>
            <w:r w:rsidRPr="00B8052D">
              <w:rPr>
                <w:b/>
                <w:bCs/>
              </w:rPr>
              <w:t>section 122</w:t>
            </w:r>
            <w:r w:rsidRPr="00B8052D">
              <w:t xml:space="preserve"> of the Act is the result of quasi-criminal adjudication. It is not a mechanical process or cannot be imposed just because it is legitimate to levy penalty. The element of </w:t>
            </w:r>
            <w:proofErr w:type="spellStart"/>
            <w:r w:rsidRPr="00B8052D">
              <w:t>mensrea</w:t>
            </w:r>
            <w:proofErr w:type="spellEnd"/>
            <w:r w:rsidRPr="00B8052D">
              <w:t xml:space="preserve"> or </w:t>
            </w:r>
            <w:proofErr w:type="spellStart"/>
            <w:r w:rsidRPr="00B8052D">
              <w:t>malafide</w:t>
            </w:r>
            <w:proofErr w:type="spellEnd"/>
            <w:r w:rsidRPr="00B8052D">
              <w:t xml:space="preserve"> intent must be necessarily present, in order to justify imposition of penalty.</w:t>
            </w:r>
          </w:p>
          <w:p w14:paraId="6ED08560" w14:textId="77777777" w:rsidR="00B8052D" w:rsidRPr="00B8052D" w:rsidRDefault="00B8052D" w:rsidP="00B8052D">
            <w:r w:rsidRPr="00B8052D">
              <w:rPr>
                <w:b/>
                <w:bCs/>
              </w:rPr>
              <w:t>14)</w:t>
            </w:r>
            <w:r w:rsidRPr="00B8052D">
              <w:t xml:space="preserve"> A penalty can be levied on Appellant only if it is proved that there is presence of guilty, dishonest and </w:t>
            </w:r>
            <w:proofErr w:type="spellStart"/>
            <w:r w:rsidRPr="00B8052D">
              <w:t>wilful</w:t>
            </w:r>
            <w:proofErr w:type="spellEnd"/>
            <w:r w:rsidRPr="00B8052D">
              <w:t xml:space="preserve"> intent either to defraud revenue or evade the payment of tax on Appellant’s part. In other words, there has to be positive act on part of </w:t>
            </w:r>
            <w:proofErr w:type="spellStart"/>
            <w:r w:rsidRPr="00B8052D">
              <w:t>assessee</w:t>
            </w:r>
            <w:proofErr w:type="spellEnd"/>
            <w:r w:rsidRPr="00B8052D">
              <w:t xml:space="preserve"> to evade duty.</w:t>
            </w:r>
          </w:p>
          <w:p w14:paraId="5099B7C0" w14:textId="32A3281F" w:rsidR="00B8052D" w:rsidRPr="00B8052D" w:rsidRDefault="00B8052D" w:rsidP="00B8052D">
            <w:r w:rsidRPr="00B8052D">
              <w:rPr>
                <w:b/>
                <w:bCs/>
              </w:rPr>
              <w:t>15)</w:t>
            </w:r>
            <w:r w:rsidRPr="00B8052D">
              <w:t> The decision of Supreme Court in Union of India vs. Rajasthan Spinning and Weaving Mills </w:t>
            </w:r>
            <w:r w:rsidRPr="00B8052D">
              <w:rPr>
                <w:b/>
                <w:bCs/>
              </w:rPr>
              <w:t>2009 (238) ELT 3(SC)</w:t>
            </w:r>
            <w:r w:rsidRPr="00B8052D">
              <w:t xml:space="preserve"> held that clearly held that element of </w:t>
            </w:r>
            <w:proofErr w:type="spellStart"/>
            <w:r w:rsidRPr="00B8052D">
              <w:t>mensrea</w:t>
            </w:r>
            <w:proofErr w:type="spellEnd"/>
            <w:r w:rsidRPr="00B8052D">
              <w:t xml:space="preserve"> is essential for the imposition of penalty.</w:t>
            </w:r>
          </w:p>
          <w:p w14:paraId="342B0E9A" w14:textId="594AD9D1" w:rsidR="00B8052D" w:rsidRPr="00B8052D" w:rsidRDefault="00B8052D" w:rsidP="00B8052D">
            <w:r w:rsidRPr="00B8052D">
              <w:rPr>
                <w:b/>
                <w:bCs/>
              </w:rPr>
              <w:t>16)</w:t>
            </w:r>
            <w:r w:rsidRPr="00B8052D">
              <w:t> The decision of the Supreme Court in the case of Hindustan Steel Ltd. vs. State of Orissa (1978) ELT J 159, </w:t>
            </w:r>
            <w:r w:rsidRPr="00B8052D">
              <w:rPr>
                <w:b/>
                <w:bCs/>
              </w:rPr>
              <w:t>[1969] (SC)</w:t>
            </w:r>
            <w:r w:rsidRPr="00B8052D">
              <w:t> has categorically held that:</w:t>
            </w:r>
          </w:p>
          <w:p w14:paraId="72DBF937" w14:textId="77777777" w:rsidR="00B8052D" w:rsidRPr="00B8052D" w:rsidRDefault="00B8052D" w:rsidP="00B8052D">
            <w:r w:rsidRPr="00B8052D">
              <w:rPr>
                <w:i/>
                <w:iCs/>
              </w:rPr>
              <w:t>“</w:t>
            </w:r>
            <w:proofErr w:type="gramStart"/>
            <w:r w:rsidRPr="00B8052D">
              <w:rPr>
                <w:i/>
                <w:iCs/>
              </w:rPr>
              <w:t>the</w:t>
            </w:r>
            <w:proofErr w:type="gramEnd"/>
            <w:r w:rsidRPr="00B8052D">
              <w:rPr>
                <w:i/>
                <w:iCs/>
              </w:rPr>
              <w:t xml:space="preserve"> discretion to impose a penalty must be exercised judicially. A penalty will be ordinarily by </w:t>
            </w:r>
            <w:proofErr w:type="spellStart"/>
            <w:r w:rsidRPr="00B8052D">
              <w:rPr>
                <w:i/>
                <w:iCs/>
              </w:rPr>
              <w:t>imposedin</w:t>
            </w:r>
            <w:proofErr w:type="spellEnd"/>
            <w:r w:rsidRPr="00B8052D">
              <w:rPr>
                <w:i/>
                <w:iCs/>
              </w:rPr>
              <w:t xml:space="preserve"> cases where the party acts deliberately in defiance of the law, or is guilty of contumacious or dishonest conduct, or acts in conscious disregard of its obligation; but not, in cases where there is a technical or venial breach of the provisions of the Act or where the breach flows from a bona fide belief that the offender is not liable to act in the manner prescribed by the statute.”</w:t>
            </w:r>
          </w:p>
          <w:p w14:paraId="7BF4B9EC" w14:textId="77777777" w:rsidR="00B8052D" w:rsidRPr="00B8052D" w:rsidRDefault="00B8052D" w:rsidP="00B8052D">
            <w:r w:rsidRPr="00B8052D">
              <w:rPr>
                <w:b/>
                <w:bCs/>
              </w:rPr>
              <w:t>17)</w:t>
            </w:r>
            <w:r w:rsidRPr="00B8052D">
              <w:t> In case of M/s Poly spinning Mills vs. Commissioner of Central Excise, Chennai – II, 2008 (231) ELT 282 (</w:t>
            </w:r>
            <w:proofErr w:type="gramStart"/>
            <w:r w:rsidRPr="00B8052D">
              <w:t>Tri.-</w:t>
            </w:r>
            <w:proofErr w:type="gramEnd"/>
            <w:r w:rsidRPr="00B8052D">
              <w:t xml:space="preserve"> Chennai) [2017] 16 TUD-CD 076 (CESTAT-CHENNAI) it is held that</w:t>
            </w:r>
          </w:p>
          <w:p w14:paraId="768D982E" w14:textId="77777777" w:rsidR="00B8052D" w:rsidRPr="00B8052D" w:rsidRDefault="00B8052D" w:rsidP="00B8052D">
            <w:r w:rsidRPr="00B8052D">
              <w:rPr>
                <w:i/>
                <w:iCs/>
              </w:rPr>
              <w:t xml:space="preserve">“It is settled that penalty cannot be imposed just for the reason that the statute provides for it. It has to be established that the </w:t>
            </w:r>
            <w:proofErr w:type="spellStart"/>
            <w:r w:rsidRPr="00B8052D">
              <w:rPr>
                <w:i/>
                <w:iCs/>
              </w:rPr>
              <w:t>assessee</w:t>
            </w:r>
            <w:proofErr w:type="spellEnd"/>
            <w:r w:rsidRPr="00B8052D">
              <w:rPr>
                <w:i/>
                <w:iCs/>
              </w:rPr>
              <w:t xml:space="preserve"> was acting in defiance of law and its conduct was dishonest and contumacious”</w:t>
            </w:r>
          </w:p>
          <w:p w14:paraId="311409E2" w14:textId="4C88BCC6" w:rsidR="00B8052D" w:rsidRPr="00B8052D" w:rsidRDefault="00B8052D" w:rsidP="00B8052D">
            <w:r w:rsidRPr="00B8052D">
              <w:rPr>
                <w:b/>
                <w:bCs/>
              </w:rPr>
              <w:t>18)</w:t>
            </w:r>
            <w:r w:rsidRPr="00B8052D">
              <w:t> In the matter of Collector of Customs, Bombay vs. Unitech Exports Limited reported in [</w:t>
            </w:r>
            <w:r w:rsidRPr="00B8052D">
              <w:rPr>
                <w:b/>
                <w:bCs/>
              </w:rPr>
              <w:t>1999 (Tribunal)</w:t>
            </w:r>
            <w:r w:rsidRPr="00B8052D">
              <w:t>] Hon’ble Tribunal held that</w:t>
            </w:r>
          </w:p>
          <w:p w14:paraId="68CBEF9A" w14:textId="4A879D8E" w:rsidR="00B8052D" w:rsidRPr="00B8052D" w:rsidRDefault="00B8052D" w:rsidP="00B8052D">
            <w:r w:rsidRPr="00B8052D">
              <w:rPr>
                <w:i/>
                <w:iCs/>
              </w:rPr>
              <w:t>4.It is settled position that penalty should not be imposed for the sake of levy. Penalty is not a source of Revenue. Penalty can be imposed depending upon the facts and circumstances of the case that there is a clear finding by the authorities below that this case does not warrant imposition of penalty. The respondent’s Counsel has also relied upon the decision of the Supreme Court in the case of M/s. Pratibha Processors v. Union of India reported in </w:t>
            </w:r>
            <w:r w:rsidRPr="00B8052D">
              <w:rPr>
                <w:b/>
                <w:bCs/>
                <w:i/>
                <w:iCs/>
              </w:rPr>
              <w:t>1996 (88) E.L.T. 12 (S.C.)</w:t>
            </w:r>
            <w:r w:rsidRPr="00B8052D">
              <w:rPr>
                <w:i/>
                <w:iCs/>
              </w:rPr>
              <w:t> that penalty ordinarily levied for some contumacious conduct or for a deliberate violation of the provisions of the particular statute. In the facts and circumstances and in view of the clear finding of the authorities below that there was no deliberate violation of the provisions of the statute, I do not find any infirmity in the impugned order. In this view appeal filed by the department is hereby rejected.</w:t>
            </w:r>
          </w:p>
          <w:p w14:paraId="72B3D23D" w14:textId="7ADA7354" w:rsidR="00B8052D" w:rsidRPr="00B8052D" w:rsidRDefault="00B8052D" w:rsidP="00B8052D">
            <w:r w:rsidRPr="00B8052D">
              <w:t>Therefore, considering the facts and circumstance of the case, it is amply clear that penalty under </w:t>
            </w:r>
            <w:r w:rsidRPr="00B8052D">
              <w:rPr>
                <w:b/>
                <w:bCs/>
              </w:rPr>
              <w:t>section 122</w:t>
            </w:r>
            <w:r w:rsidRPr="00B8052D">
              <w:t> of the CGST Act, 2017 cannot be imposed on the Appellant.</w:t>
            </w:r>
          </w:p>
          <w:p w14:paraId="7795728E" w14:textId="77777777" w:rsidR="00B8052D" w:rsidRPr="00B8052D" w:rsidRDefault="00B8052D" w:rsidP="00B8052D">
            <w:r w:rsidRPr="00B8052D">
              <w:rPr>
                <w:b/>
                <w:bCs/>
              </w:rPr>
              <w:t>L. SUBMISSIONS ON INTEREST</w:t>
            </w:r>
          </w:p>
          <w:p w14:paraId="3B58B04A" w14:textId="5F9EF528" w:rsidR="00B8052D" w:rsidRPr="00B8052D" w:rsidRDefault="00B8052D" w:rsidP="00B8052D">
            <w:r w:rsidRPr="00B8052D">
              <w:rPr>
                <w:b/>
                <w:bCs/>
              </w:rPr>
              <w:t>19)</w:t>
            </w:r>
            <w:r w:rsidRPr="00B8052D">
              <w:t> That the appellant submits that the OIO has demanded and confirmed interest under </w:t>
            </w:r>
            <w:r w:rsidRPr="00B8052D">
              <w:rPr>
                <w:b/>
                <w:bCs/>
              </w:rPr>
              <w:t>Section 50</w:t>
            </w:r>
            <w:r w:rsidRPr="00B8052D">
              <w:t> of Act on the ground that the Appellant has not reversed ITC. The Appellant humbly submits that provisions of </w:t>
            </w:r>
            <w:r w:rsidRPr="00B8052D">
              <w:rPr>
                <w:b/>
                <w:bCs/>
              </w:rPr>
              <w:t>Section 50</w:t>
            </w:r>
            <w:r w:rsidRPr="00B8052D">
              <w:t> are not applicable in the instant case as the Appellant has correctly availed the ITC.</w:t>
            </w:r>
          </w:p>
          <w:p w14:paraId="546FE6B7" w14:textId="5EECF9E7" w:rsidR="00B8052D" w:rsidRPr="00B8052D" w:rsidRDefault="00B8052D" w:rsidP="00B8052D">
            <w:r w:rsidRPr="00B8052D">
              <w:t>Therefore, there arises no liability of interest.  In view of above submissions, it is amply clear that there cannot be any liability of interest </w:t>
            </w:r>
            <w:r w:rsidRPr="00B8052D">
              <w:rPr>
                <w:b/>
                <w:bCs/>
              </w:rPr>
              <w:t>u/s 50</w:t>
            </w:r>
            <w:r w:rsidRPr="00B8052D">
              <w:t> of the Act.</w:t>
            </w:r>
          </w:p>
          <w:p w14:paraId="63F2E088" w14:textId="3926780A" w:rsidR="00B8052D" w:rsidRPr="00B8052D" w:rsidRDefault="00B8052D" w:rsidP="00B8052D">
            <w:r w:rsidRPr="00B8052D">
              <w:rPr>
                <w:b/>
                <w:bCs/>
              </w:rPr>
              <w:t>20)</w:t>
            </w:r>
            <w:r w:rsidRPr="00B8052D">
              <w:t> Further, we submit that the </w:t>
            </w:r>
            <w:r w:rsidRPr="00B8052D">
              <w:rPr>
                <w:b/>
                <w:bCs/>
              </w:rPr>
              <w:t>Section 16</w:t>
            </w:r>
            <w:r w:rsidRPr="00B8052D">
              <w:t>(4) has been challenged before the Hon’ble High Court of Gujarat in case of M/s. Niyati Constructions Vs UOI and stay has been granted on recovery proceedings till next date of hearing. It was also challenged before Hon’ble High Court of Madhya Pradesh in case of </w:t>
            </w:r>
            <w:r w:rsidRPr="00B8052D">
              <w:rPr>
                <w:b/>
                <w:bCs/>
              </w:rPr>
              <w:t xml:space="preserve">M/s. </w:t>
            </w:r>
            <w:proofErr w:type="spellStart"/>
            <w:r w:rsidRPr="00B8052D">
              <w:rPr>
                <w:b/>
                <w:bCs/>
              </w:rPr>
              <w:t>Shreeji</w:t>
            </w:r>
            <w:proofErr w:type="spellEnd"/>
            <w:r w:rsidRPr="00B8052D">
              <w:rPr>
                <w:b/>
                <w:bCs/>
              </w:rPr>
              <w:t xml:space="preserve"> Chartered Accountants Earth Movers vs UOI</w:t>
            </w:r>
            <w:r w:rsidRPr="00B8052D">
              <w:t> (WP No 05434 of 2020). Since the issue is sub-judice before various High Court, we request you not to take any coercive action in this regard </w:t>
            </w:r>
          </w:p>
          <w:p w14:paraId="779CAA61" w14:textId="77777777" w:rsidR="00B8052D" w:rsidRPr="00B8052D" w:rsidRDefault="00B8052D" w:rsidP="00B8052D">
            <w:r w:rsidRPr="00B8052D">
              <w:rPr>
                <w:b/>
                <w:bCs/>
              </w:rPr>
              <w:t>21) </w:t>
            </w:r>
            <w:r w:rsidRPr="00B8052D">
              <w:t>The Appellants crave leave to add, amend and/or alter any of the submissions mentioned herein above and produced such documentary evidence as may be necessary for the case. The Appellants further crave leave to rely on such judicial precedents as may be required in their defense.</w:t>
            </w:r>
          </w:p>
          <w:p w14:paraId="5041376F" w14:textId="77777777" w:rsidR="00B8052D" w:rsidRPr="00B8052D" w:rsidRDefault="00B8052D" w:rsidP="00B8052D">
            <w:r w:rsidRPr="00B8052D">
              <w:rPr>
                <w:b/>
                <w:bCs/>
              </w:rPr>
              <w:t>22) </w:t>
            </w:r>
            <w:r w:rsidRPr="00B8052D">
              <w:t xml:space="preserve">In view of various submissions made above, the appellant requests your </w:t>
            </w:r>
            <w:proofErr w:type="spellStart"/>
            <w:r w:rsidRPr="00B8052D">
              <w:t>Honour</w:t>
            </w:r>
            <w:proofErr w:type="spellEnd"/>
            <w:r w:rsidRPr="00B8052D">
              <w:t xml:space="preserve"> to kindly set aside the impugned order of the &lt;Jurisdiction&gt; and oblige.</w:t>
            </w:r>
          </w:p>
          <w:p w14:paraId="70F88240" w14:textId="77777777" w:rsidR="00B8052D" w:rsidRPr="00B8052D" w:rsidRDefault="00B8052D" w:rsidP="00B8052D">
            <w:r w:rsidRPr="00B8052D">
              <w:rPr>
                <w:b/>
                <w:bCs/>
              </w:rPr>
              <w:t>‘PRAYER’</w:t>
            </w:r>
          </w:p>
          <w:p w14:paraId="08A9C4CB" w14:textId="77777777" w:rsidR="00B8052D" w:rsidRPr="00B8052D" w:rsidRDefault="00B8052D" w:rsidP="00B8052D">
            <w:r w:rsidRPr="00B8052D">
              <w:t>The appellant would in great earnestness pray that the Hon’ble &lt;Jurisdiction&gt; (Appeals), be please to set aside the impugned order of the Respondent and allow the appeal in the ends of justice and equity, for which act justice and fairness the appellant would as in law be duty bound and beholden and pray for the justice.</w:t>
            </w:r>
          </w:p>
          <w:p w14:paraId="73EF56D1" w14:textId="77777777" w:rsidR="00B8052D" w:rsidRPr="00B8052D" w:rsidRDefault="00B8052D" w:rsidP="00B8052D">
            <w:r w:rsidRPr="00B8052D">
              <w:t xml:space="preserve">Appellant request your </w:t>
            </w:r>
            <w:proofErr w:type="spellStart"/>
            <w:r w:rsidRPr="00B8052D">
              <w:t>Honour</w:t>
            </w:r>
            <w:proofErr w:type="spellEnd"/>
            <w:r w:rsidRPr="00B8052D">
              <w:t xml:space="preserve"> to grant us an opportunity to orally submit our case at personal hearing before you.</w:t>
            </w:r>
          </w:p>
          <w:p w14:paraId="3FE27D2C" w14:textId="77777777" w:rsidR="00B8052D" w:rsidRPr="00B8052D" w:rsidRDefault="00B8052D" w:rsidP="00B8052D">
            <w:r w:rsidRPr="00B8052D">
              <w:rPr>
                <w:b/>
                <w:bCs/>
              </w:rPr>
              <w:t>Appellant</w:t>
            </w:r>
          </w:p>
          <w:p w14:paraId="6EE8D487" w14:textId="77777777" w:rsidR="00B8052D" w:rsidRPr="00B8052D" w:rsidRDefault="00B8052D" w:rsidP="00B8052D">
            <w:r w:rsidRPr="00B8052D">
              <w:rPr>
                <w:b/>
                <w:bCs/>
              </w:rPr>
              <w:t>Place:                                                                                                                                              &lt;Signature&gt;</w:t>
            </w:r>
          </w:p>
          <w:p w14:paraId="752E2D2F" w14:textId="77777777" w:rsidR="00B8052D" w:rsidRPr="00B8052D" w:rsidRDefault="00B8052D" w:rsidP="00B8052D">
            <w:r w:rsidRPr="00B8052D">
              <w:rPr>
                <w:b/>
                <w:bCs/>
              </w:rPr>
              <w:t>Date:                                                                                                                             Name of the Applicant:</w:t>
            </w:r>
          </w:p>
          <w:p w14:paraId="078864E1" w14:textId="77777777" w:rsidR="00B8052D" w:rsidRPr="00B8052D" w:rsidRDefault="00B8052D" w:rsidP="00B8052D">
            <w:r w:rsidRPr="00B8052D">
              <w:rPr>
                <w:b/>
                <w:bCs/>
              </w:rPr>
              <w:t> </w:t>
            </w:r>
          </w:p>
          <w:p w14:paraId="1692C882" w14:textId="77777777" w:rsidR="00B8052D" w:rsidRPr="00B8052D" w:rsidRDefault="00B8052D" w:rsidP="00B8052D">
            <w:r w:rsidRPr="00B8052D">
              <w:rPr>
                <w:b/>
                <w:bCs/>
              </w:rPr>
              <w:t>Verification</w:t>
            </w:r>
          </w:p>
          <w:p w14:paraId="1822E29E" w14:textId="77777777" w:rsidR="00B8052D" w:rsidRPr="00B8052D" w:rsidRDefault="00B8052D" w:rsidP="00B8052D">
            <w:r w:rsidRPr="00B8052D">
              <w:rPr>
                <w:b/>
                <w:bCs/>
              </w:rPr>
              <w:t>I, &lt;..................... &gt;, hereby solemnly affirm and declare that the information given hereinabove is true and correct to the best of my knowledge and belief and nothing has been concealed therefrom.</w:t>
            </w:r>
          </w:p>
          <w:p w14:paraId="0D5C9481" w14:textId="77777777" w:rsidR="00B8052D" w:rsidRPr="00B8052D" w:rsidRDefault="00B8052D" w:rsidP="00B8052D">
            <w:r w:rsidRPr="00B8052D">
              <w:rPr>
                <w:b/>
                <w:bCs/>
              </w:rPr>
              <w:t>Verified today, &lt;date&gt;</w:t>
            </w:r>
          </w:p>
          <w:p w14:paraId="33B9C8D2" w14:textId="77777777" w:rsidR="00B8052D" w:rsidRPr="00B8052D" w:rsidRDefault="00B8052D" w:rsidP="00B8052D">
            <w:r w:rsidRPr="00B8052D">
              <w:rPr>
                <w:b/>
                <w:bCs/>
              </w:rPr>
              <w:t>APPELLANT</w:t>
            </w:r>
          </w:p>
          <w:p w14:paraId="7959DD5A" w14:textId="77777777" w:rsidR="00B8052D" w:rsidRPr="00B8052D" w:rsidRDefault="00B8052D" w:rsidP="00B8052D">
            <w:r w:rsidRPr="00B8052D">
              <w:rPr>
                <w:b/>
                <w:bCs/>
              </w:rPr>
              <w:t>Place:                                                                                                                                               &lt;Signature&gt;</w:t>
            </w:r>
          </w:p>
          <w:p w14:paraId="078DC753" w14:textId="77777777" w:rsidR="00B8052D" w:rsidRPr="00B8052D" w:rsidRDefault="00B8052D" w:rsidP="00B8052D">
            <w:r w:rsidRPr="00B8052D">
              <w:rPr>
                <w:b/>
                <w:bCs/>
              </w:rPr>
              <w:t>Date:                                                                                                                              Name of the Applicant:</w:t>
            </w:r>
          </w:p>
        </w:tc>
      </w:tr>
    </w:tbl>
    <w:p w14:paraId="3B3FF82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588"/>
    <w:multiLevelType w:val="multilevel"/>
    <w:tmpl w:val="C42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60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2D"/>
    <w:rsid w:val="00031CAE"/>
    <w:rsid w:val="00447B58"/>
    <w:rsid w:val="005237F3"/>
    <w:rsid w:val="005E4A7E"/>
    <w:rsid w:val="00B8052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E88E"/>
  <w15:chartTrackingRefBased/>
  <w15:docId w15:val="{AEEEF0A1-CE14-4DBF-BE86-9519ACA8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5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5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5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5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5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5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5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5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5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2D"/>
    <w:rPr>
      <w:rFonts w:eastAsiaTheme="majorEastAsia" w:cstheme="majorBidi"/>
      <w:color w:val="272727" w:themeColor="text1" w:themeTint="D8"/>
    </w:rPr>
  </w:style>
  <w:style w:type="paragraph" w:styleId="Title">
    <w:name w:val="Title"/>
    <w:basedOn w:val="Normal"/>
    <w:next w:val="Normal"/>
    <w:link w:val="TitleChar"/>
    <w:uiPriority w:val="10"/>
    <w:qFormat/>
    <w:rsid w:val="00B80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2D"/>
    <w:pPr>
      <w:spacing w:before="160"/>
      <w:jc w:val="center"/>
    </w:pPr>
    <w:rPr>
      <w:i/>
      <w:iCs/>
      <w:color w:val="404040" w:themeColor="text1" w:themeTint="BF"/>
    </w:rPr>
  </w:style>
  <w:style w:type="character" w:customStyle="1" w:styleId="QuoteChar">
    <w:name w:val="Quote Char"/>
    <w:basedOn w:val="DefaultParagraphFont"/>
    <w:link w:val="Quote"/>
    <w:uiPriority w:val="29"/>
    <w:rsid w:val="00B8052D"/>
    <w:rPr>
      <w:i/>
      <w:iCs/>
      <w:color w:val="404040" w:themeColor="text1" w:themeTint="BF"/>
    </w:rPr>
  </w:style>
  <w:style w:type="paragraph" w:styleId="ListParagraph">
    <w:name w:val="List Paragraph"/>
    <w:basedOn w:val="Normal"/>
    <w:uiPriority w:val="34"/>
    <w:qFormat/>
    <w:rsid w:val="00B8052D"/>
    <w:pPr>
      <w:ind w:left="720"/>
      <w:contextualSpacing/>
    </w:pPr>
  </w:style>
  <w:style w:type="character" w:styleId="IntenseEmphasis">
    <w:name w:val="Intense Emphasis"/>
    <w:basedOn w:val="DefaultParagraphFont"/>
    <w:uiPriority w:val="21"/>
    <w:qFormat/>
    <w:rsid w:val="00B8052D"/>
    <w:rPr>
      <w:i/>
      <w:iCs/>
      <w:color w:val="2F5496" w:themeColor="accent1" w:themeShade="BF"/>
    </w:rPr>
  </w:style>
  <w:style w:type="paragraph" w:styleId="IntenseQuote">
    <w:name w:val="Intense Quote"/>
    <w:basedOn w:val="Normal"/>
    <w:next w:val="Normal"/>
    <w:link w:val="IntenseQuoteChar"/>
    <w:uiPriority w:val="30"/>
    <w:qFormat/>
    <w:rsid w:val="00B80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52D"/>
    <w:rPr>
      <w:i/>
      <w:iCs/>
      <w:color w:val="2F5496" w:themeColor="accent1" w:themeShade="BF"/>
    </w:rPr>
  </w:style>
  <w:style w:type="character" w:styleId="IntenseReference">
    <w:name w:val="Intense Reference"/>
    <w:basedOn w:val="DefaultParagraphFont"/>
    <w:uiPriority w:val="32"/>
    <w:qFormat/>
    <w:rsid w:val="00B8052D"/>
    <w:rPr>
      <w:b/>
      <w:bCs/>
      <w:smallCaps/>
      <w:color w:val="2F5496" w:themeColor="accent1" w:themeShade="BF"/>
      <w:spacing w:val="5"/>
    </w:rPr>
  </w:style>
  <w:style w:type="character" w:styleId="Hyperlink">
    <w:name w:val="Hyperlink"/>
    <w:basedOn w:val="DefaultParagraphFont"/>
    <w:uiPriority w:val="99"/>
    <w:unhideWhenUsed/>
    <w:rsid w:val="00B8052D"/>
    <w:rPr>
      <w:color w:val="0563C1" w:themeColor="hyperlink"/>
      <w:u w:val="single"/>
    </w:rPr>
  </w:style>
  <w:style w:type="character" w:styleId="UnresolvedMention">
    <w:name w:val="Unresolved Mention"/>
    <w:basedOn w:val="DefaultParagraphFont"/>
    <w:uiPriority w:val="99"/>
    <w:semiHidden/>
    <w:unhideWhenUsed/>
    <w:rsid w:val="00B80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3011</Words>
  <Characters>17165</Characters>
  <Application>Microsoft Office Word</Application>
  <DocSecurity>0</DocSecurity>
  <Lines>143</Lines>
  <Paragraphs>40</Paragraphs>
  <ScaleCrop>false</ScaleCrop>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2025-10-30T10:12:00Z</dcterms:created>
  <dcterms:modified xsi:type="dcterms:W3CDTF">2025-10-30T10:16:00Z</dcterms:modified>
</cp:coreProperties>
</file>