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F555E5" w:rsidRPr="00F555E5" w14:paraId="4D65D9C1" w14:textId="77777777">
        <w:trPr>
          <w:jc w:val="center"/>
        </w:trPr>
        <w:tc>
          <w:tcPr>
            <w:tcW w:w="0" w:type="auto"/>
            <w:shd w:val="clear" w:color="auto" w:fill="FFFFFF"/>
            <w:vAlign w:val="center"/>
            <w:hideMark/>
          </w:tcPr>
          <w:p w14:paraId="26AA572F" w14:textId="77777777" w:rsidR="00F555E5" w:rsidRPr="00F555E5" w:rsidRDefault="00F555E5" w:rsidP="00F555E5">
            <w:r w:rsidRPr="00F555E5">
              <w:rPr>
                <w:b/>
                <w:bCs/>
              </w:rPr>
              <w:t>Reply to the letter received for reversal of ineligible/Excess utilized ITC</w:t>
            </w:r>
          </w:p>
          <w:p w14:paraId="6FDF6ED4" w14:textId="77777777" w:rsidR="00F555E5" w:rsidRPr="00F555E5" w:rsidRDefault="00F555E5" w:rsidP="00F555E5">
            <w:r w:rsidRPr="00F555E5">
              <w:t>To</w:t>
            </w:r>
          </w:p>
          <w:p w14:paraId="69ABA32A" w14:textId="77777777" w:rsidR="00F555E5" w:rsidRPr="00F555E5" w:rsidRDefault="00F555E5" w:rsidP="00F555E5">
            <w:r w:rsidRPr="00F555E5">
              <w:t>Respected Sir</w:t>
            </w:r>
          </w:p>
          <w:p w14:paraId="789F6EAD" w14:textId="77777777" w:rsidR="00F555E5" w:rsidRPr="00F555E5" w:rsidRDefault="00F555E5" w:rsidP="00F555E5">
            <w:r w:rsidRPr="00F555E5">
              <w:rPr>
                <w:b/>
                <w:bCs/>
              </w:rPr>
              <w:t>Subject: Reply to the letter received for reversal of ineligible/Excess utilized ITC-Reg.</w:t>
            </w:r>
          </w:p>
          <w:p w14:paraId="1765DCAF" w14:textId="462A4A89" w:rsidR="00F555E5" w:rsidRPr="00F555E5" w:rsidRDefault="00F555E5" w:rsidP="00F555E5">
            <w:r w:rsidRPr="00F555E5">
              <w:t>We ……………………</w:t>
            </w:r>
            <w:proofErr w:type="gramStart"/>
            <w:r w:rsidRPr="00F555E5">
              <w:t>... ,</w:t>
            </w:r>
            <w:proofErr w:type="gramEnd"/>
            <w:r w:rsidRPr="00F555E5">
              <w:t xml:space="preserve"> holding </w:t>
            </w:r>
            <w:r w:rsidRPr="00F555E5">
              <w:rPr>
                <w:b/>
                <w:bCs/>
              </w:rPr>
              <w:t>GSTIN- </w:t>
            </w:r>
            <w:r w:rsidRPr="00F555E5">
              <w:t>.......................... are in receipt of a letter issued by your honor in reference to the above with the subject matter </w:t>
            </w:r>
            <w:r w:rsidRPr="00F555E5">
              <w:rPr>
                <w:b/>
                <w:bCs/>
              </w:rPr>
              <w:t>"reversal of ineligible/Excess utilized ITC"</w:t>
            </w:r>
            <w:r w:rsidRPr="00F555E5">
              <w:t> on dated ………. in the letter your honor has alleged that Credit of input Tax has been utilized for payment of GST in excess by INR …………………… only vis-a-vis the credit of input tax credit available in </w:t>
            </w:r>
            <w:r w:rsidRPr="00F555E5">
              <w:rPr>
                <w:b/>
                <w:bCs/>
              </w:rPr>
              <w:t>GSTR-2A</w:t>
            </w:r>
            <w:r w:rsidRPr="00F555E5">
              <w:t> during the financial year 2019-2020.</w:t>
            </w:r>
          </w:p>
          <w:p w14:paraId="39CFE68A" w14:textId="105D2442" w:rsidR="00F555E5" w:rsidRPr="00F555E5" w:rsidRDefault="00F555E5" w:rsidP="00F555E5">
            <w:r w:rsidRPr="00F555E5">
              <w:t>It has also been alleged that this is a contravention of the provisions stipulated in </w:t>
            </w:r>
            <w:r w:rsidRPr="00F555E5">
              <w:rPr>
                <w:b/>
                <w:bCs/>
              </w:rPr>
              <w:t>Section 49</w:t>
            </w:r>
            <w:r w:rsidRPr="00F555E5">
              <w:t>(4) of the CGST Act, 2017 read in conjunction with </w:t>
            </w:r>
            <w:r w:rsidRPr="00F555E5">
              <w:rPr>
                <w:b/>
                <w:bCs/>
              </w:rPr>
              <w:t>Rule 86</w:t>
            </w:r>
            <w:r w:rsidRPr="00F555E5">
              <w:t>(2) of the CGST Rules, 2017.</w:t>
            </w:r>
          </w:p>
          <w:p w14:paraId="77CC021D" w14:textId="77777777" w:rsidR="00F555E5" w:rsidRPr="00F555E5" w:rsidRDefault="00F555E5" w:rsidP="00F555E5">
            <w:r w:rsidRPr="00F555E5">
              <w:t>Verification of ITC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8"/>
              <w:gridCol w:w="1748"/>
              <w:gridCol w:w="1747"/>
              <w:gridCol w:w="1747"/>
              <w:gridCol w:w="1747"/>
              <w:gridCol w:w="1747"/>
            </w:tblGrid>
            <w:tr w:rsidR="00F555E5" w:rsidRPr="00F555E5" w14:paraId="09687E03" w14:textId="77777777">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87A0566" w14:textId="77777777" w:rsidR="00F555E5" w:rsidRPr="00F555E5" w:rsidRDefault="00F555E5" w:rsidP="00F555E5">
                  <w:r w:rsidRPr="00F555E5">
                    <w:rPr>
                      <w:b/>
                      <w:bCs/>
                    </w:rPr>
                    <w:t>Financial Year</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C2E056E" w14:textId="39B52DB3" w:rsidR="00F555E5" w:rsidRPr="00F555E5" w:rsidRDefault="00F555E5" w:rsidP="00F555E5">
                  <w:r w:rsidRPr="00F555E5">
                    <w:rPr>
                      <w:b/>
                      <w:bCs/>
                    </w:rPr>
                    <w:t>ITC available as per GSTR-3B</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C930B99" w14:textId="02C11265" w:rsidR="00F555E5" w:rsidRPr="00F555E5" w:rsidRDefault="00F555E5" w:rsidP="00F555E5">
                  <w:r w:rsidRPr="00F555E5">
                    <w:rPr>
                      <w:b/>
                      <w:bCs/>
                    </w:rPr>
                    <w:t>ITC available as per GSTR-2A</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030E717" w14:textId="77777777" w:rsidR="00F555E5" w:rsidRPr="00F555E5" w:rsidRDefault="00F555E5" w:rsidP="00F555E5">
                  <w:r w:rsidRPr="00F555E5">
                    <w:rPr>
                      <w:b/>
                      <w:bCs/>
                    </w:rPr>
                    <w:t>ITC as per Tax payer’s Credit Ledger</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F1E3698" w14:textId="77777777" w:rsidR="00F555E5" w:rsidRPr="00F555E5" w:rsidRDefault="00F555E5" w:rsidP="00F555E5">
                  <w:r w:rsidRPr="00F555E5">
                    <w:rPr>
                      <w:b/>
                      <w:bCs/>
                    </w:rPr>
                    <w:t>ITC utilized against payment of GST</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5214BDF" w14:textId="77777777" w:rsidR="00F555E5" w:rsidRPr="00F555E5" w:rsidRDefault="00F555E5" w:rsidP="00F555E5">
                  <w:r w:rsidRPr="00F555E5">
                    <w:rPr>
                      <w:b/>
                      <w:bCs/>
                    </w:rPr>
                    <w:t>Excess utilization of ITC</w:t>
                  </w:r>
                </w:p>
              </w:tc>
            </w:tr>
            <w:tr w:rsidR="00F555E5" w:rsidRPr="00F555E5" w14:paraId="586C9449" w14:textId="77777777">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8B6DDF5" w14:textId="77777777" w:rsidR="00F555E5" w:rsidRPr="00F555E5" w:rsidRDefault="00F555E5" w:rsidP="00F555E5">
                  <w:r w:rsidRPr="00F555E5">
                    <w:rPr>
                      <w:b/>
                      <w:bCs/>
                    </w:rPr>
                    <w:t>(1)</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A6DC190" w14:textId="77777777" w:rsidR="00F555E5" w:rsidRPr="00F555E5" w:rsidRDefault="00F555E5" w:rsidP="00F555E5">
                  <w:r w:rsidRPr="00F555E5">
                    <w:rPr>
                      <w:b/>
                      <w:bCs/>
                    </w:rPr>
                    <w:t>(2)</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FA7AF0C" w14:textId="77777777" w:rsidR="00F555E5" w:rsidRPr="00F555E5" w:rsidRDefault="00F555E5" w:rsidP="00F555E5">
                  <w:r w:rsidRPr="00F555E5">
                    <w:rPr>
                      <w:b/>
                      <w:bCs/>
                    </w:rPr>
                    <w:t>(3)</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EF30AE5" w14:textId="77777777" w:rsidR="00F555E5" w:rsidRPr="00F555E5" w:rsidRDefault="00F555E5" w:rsidP="00F555E5">
                  <w:r w:rsidRPr="00F555E5">
                    <w:rPr>
                      <w:b/>
                      <w:bCs/>
                    </w:rPr>
                    <w:t>(4)</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CF5BB20" w14:textId="77777777" w:rsidR="00F555E5" w:rsidRPr="00F555E5" w:rsidRDefault="00F555E5" w:rsidP="00F555E5">
                  <w:r w:rsidRPr="00F555E5">
                    <w:rPr>
                      <w:b/>
                      <w:bCs/>
                    </w:rPr>
                    <w:t>(5)</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187C7D" w14:textId="77777777" w:rsidR="00F555E5" w:rsidRPr="00F555E5" w:rsidRDefault="00F555E5" w:rsidP="00F555E5">
                  <w:r w:rsidRPr="00F555E5">
                    <w:rPr>
                      <w:b/>
                      <w:bCs/>
                    </w:rPr>
                    <w:t>(6) = (</w:t>
                  </w:r>
                  <w:proofErr w:type="gramStart"/>
                  <w:r w:rsidRPr="00F555E5">
                    <w:rPr>
                      <w:b/>
                      <w:bCs/>
                    </w:rPr>
                    <w:t>5)minus</w:t>
                  </w:r>
                  <w:proofErr w:type="gramEnd"/>
                  <w:r w:rsidRPr="00F555E5">
                    <w:rPr>
                      <w:b/>
                      <w:bCs/>
                    </w:rPr>
                    <w:t>(3)</w:t>
                  </w:r>
                </w:p>
              </w:tc>
            </w:tr>
            <w:tr w:rsidR="00F555E5" w:rsidRPr="00F555E5" w14:paraId="4A509C3D" w14:textId="77777777">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8819C4B" w14:textId="77777777" w:rsidR="00F555E5" w:rsidRPr="00F555E5" w:rsidRDefault="00F555E5" w:rsidP="00F555E5">
                  <w:r w:rsidRPr="00F555E5">
                    <w:t>2019-20</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F55D909" w14:textId="77777777" w:rsidR="00F555E5" w:rsidRPr="00F555E5" w:rsidRDefault="00F555E5" w:rsidP="00F555E5">
                  <w:r w:rsidRPr="00F555E5">
                    <w:t> </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B742EC6" w14:textId="77777777" w:rsidR="00F555E5" w:rsidRPr="00F555E5" w:rsidRDefault="00F555E5" w:rsidP="00F555E5">
                  <w:r w:rsidRPr="00F555E5">
                    <w:t> </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3332930" w14:textId="77777777" w:rsidR="00F555E5" w:rsidRPr="00F555E5" w:rsidRDefault="00F555E5" w:rsidP="00F555E5">
                  <w:r w:rsidRPr="00F555E5">
                    <w:t>Not Provided</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CBFE64F" w14:textId="77777777" w:rsidR="00F555E5" w:rsidRPr="00F555E5" w:rsidRDefault="00F555E5" w:rsidP="00F555E5">
                  <w:r w:rsidRPr="00F555E5">
                    <w:t> </w:t>
                  </w:r>
                </w:p>
              </w:tc>
              <w:tc>
                <w:tcPr>
                  <w:tcW w:w="15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8F356AB" w14:textId="77777777" w:rsidR="00F555E5" w:rsidRPr="00F555E5" w:rsidRDefault="00F555E5" w:rsidP="00F555E5">
                  <w:r w:rsidRPr="00F555E5">
                    <w:t> </w:t>
                  </w:r>
                </w:p>
              </w:tc>
            </w:tr>
          </w:tbl>
          <w:p w14:paraId="118699E5" w14:textId="7C56C92C" w:rsidR="00F555E5" w:rsidRPr="00F555E5" w:rsidRDefault="00F555E5" w:rsidP="00F555E5">
            <w:r w:rsidRPr="00F555E5">
              <w:t xml:space="preserve">Further, it has been requested through the letter to reverse the </w:t>
            </w:r>
            <w:proofErr w:type="gramStart"/>
            <w:r w:rsidRPr="00F555E5">
              <w:t>above mentioned</w:t>
            </w:r>
            <w:proofErr w:type="gramEnd"/>
            <w:r w:rsidRPr="00F555E5">
              <w:t xml:space="preserve"> ineligible ITC of INR …………......... in terms of </w:t>
            </w:r>
            <w:r w:rsidRPr="00F555E5">
              <w:rPr>
                <w:b/>
                <w:bCs/>
              </w:rPr>
              <w:t>Section 16</w:t>
            </w:r>
            <w:r w:rsidRPr="00F555E5">
              <w:t>(2) of the CGST Act, 2017 together with applicable interest thereon within 15 (Fifteen) days of the receipt of this letter.</w:t>
            </w:r>
          </w:p>
          <w:p w14:paraId="73CA8F79" w14:textId="77777777" w:rsidR="00F555E5" w:rsidRPr="00F555E5" w:rsidRDefault="00F555E5" w:rsidP="00F555E5">
            <w:r w:rsidRPr="00F555E5">
              <w:rPr>
                <w:b/>
                <w:bCs/>
              </w:rPr>
              <w:t>A copy of the letter received has been attached to this letter and marked as Annexure-A.</w:t>
            </w:r>
          </w:p>
          <w:p w14:paraId="3CEF1862" w14:textId="77777777" w:rsidR="00F555E5" w:rsidRPr="00F555E5" w:rsidRDefault="00F555E5" w:rsidP="00F555E5">
            <w:r w:rsidRPr="00F555E5">
              <w:rPr>
                <w:b/>
                <w:bCs/>
              </w:rPr>
              <w:t>In reference to the above, we submit as under:</w:t>
            </w:r>
          </w:p>
          <w:p w14:paraId="3B873228" w14:textId="5DFEA458" w:rsidR="00F555E5" w:rsidRPr="00F555E5" w:rsidRDefault="00F555E5" w:rsidP="00F555E5">
            <w:r w:rsidRPr="00F555E5">
              <w:t>As per </w:t>
            </w:r>
            <w:r w:rsidRPr="00F555E5">
              <w:rPr>
                <w:b/>
                <w:bCs/>
              </w:rPr>
              <w:t>Sec. 49</w:t>
            </w:r>
            <w:r w:rsidRPr="00F555E5">
              <w:t>(4) of the CGST Act, 2017:</w:t>
            </w:r>
          </w:p>
          <w:p w14:paraId="4C9BF81B" w14:textId="77777777" w:rsidR="00F555E5" w:rsidRPr="00F555E5" w:rsidRDefault="00F555E5" w:rsidP="00F555E5">
            <w:r w:rsidRPr="00F555E5">
              <w:t>The amount available in the electronic credit ledger may be used for making any payment towards output tax under this Act or under the Integrated Goods and Services Tax Act in such manner and subject to such conditions and within such time as may be prescribed.</w:t>
            </w:r>
          </w:p>
          <w:p w14:paraId="1689F9E7" w14:textId="00C50BBE" w:rsidR="00F555E5" w:rsidRPr="00F555E5" w:rsidRDefault="00F555E5" w:rsidP="00F555E5">
            <w:r w:rsidRPr="00F555E5">
              <w:t>As per </w:t>
            </w:r>
            <w:r w:rsidRPr="00F555E5">
              <w:rPr>
                <w:b/>
                <w:bCs/>
              </w:rPr>
              <w:t>Rule 86</w:t>
            </w:r>
            <w:r w:rsidRPr="00F555E5">
              <w:t>(2) of the CGST Rules, 2017:</w:t>
            </w:r>
          </w:p>
          <w:p w14:paraId="4644E171" w14:textId="22CA3E93" w:rsidR="00F555E5" w:rsidRPr="00F555E5" w:rsidRDefault="00F555E5" w:rsidP="00F555E5">
            <w:r w:rsidRPr="00F555E5">
              <w:lastRenderedPageBreak/>
              <w:t>The electronic credit ledger shall be debited to the extent of discharge of any liability in accordance with the provisions of </w:t>
            </w:r>
            <w:r w:rsidRPr="00F555E5">
              <w:rPr>
                <w:b/>
                <w:bCs/>
              </w:rPr>
              <w:t>Section 49</w:t>
            </w:r>
            <w:r w:rsidRPr="00F555E5">
              <w:t> or </w:t>
            </w:r>
            <w:r w:rsidRPr="00F555E5">
              <w:rPr>
                <w:b/>
                <w:bCs/>
              </w:rPr>
              <w:t>section 49A</w:t>
            </w:r>
            <w:r w:rsidRPr="00F555E5">
              <w:t> or </w:t>
            </w:r>
            <w:r w:rsidRPr="00F555E5">
              <w:rPr>
                <w:b/>
                <w:bCs/>
              </w:rPr>
              <w:t>section 49B</w:t>
            </w:r>
            <w:r w:rsidRPr="00F555E5">
              <w:t>.</w:t>
            </w:r>
          </w:p>
          <w:p w14:paraId="5B8993AD" w14:textId="62F57256" w:rsidR="00F555E5" w:rsidRPr="00F555E5" w:rsidRDefault="00F555E5" w:rsidP="00F555E5">
            <w:r w:rsidRPr="00F555E5">
              <w:t>The payment of output tax liability for the Financial Year 2019-2020 has been done utilizing the Input Tax Credit only to the extent of the amount available in the electronic credit ledger in accordance with the provisions stipulated 49, 49A and 49B of the CGST Act, 2017 read in conjunction with </w:t>
            </w:r>
            <w:r w:rsidRPr="00F555E5">
              <w:rPr>
                <w:b/>
                <w:bCs/>
              </w:rPr>
              <w:t>Rule 86</w:t>
            </w:r>
            <w:r w:rsidRPr="00F555E5">
              <w:t>(2) of the CGST Rules, 2017.</w:t>
            </w:r>
          </w:p>
          <w:p w14:paraId="47F335B4" w14:textId="77777777" w:rsidR="00F555E5" w:rsidRPr="00F555E5" w:rsidRDefault="00F555E5" w:rsidP="00F555E5">
            <w:r w:rsidRPr="00F555E5">
              <w:t>The same can be evident from the extract of Electronic Credit Ledger available on the GST portal and also attached with this letter and marked as Annexure-B.</w:t>
            </w:r>
          </w:p>
          <w:p w14:paraId="58601CC5" w14:textId="77777777" w:rsidR="00F555E5" w:rsidRPr="00F555E5" w:rsidRDefault="00F555E5" w:rsidP="00F555E5">
            <w:r w:rsidRPr="00F555E5">
              <w:t>ITC regarding M/s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8"/>
              <w:gridCol w:w="1479"/>
              <w:gridCol w:w="1676"/>
              <w:gridCol w:w="1578"/>
              <w:gridCol w:w="1873"/>
              <w:gridCol w:w="2580"/>
            </w:tblGrid>
            <w:tr w:rsidR="00F555E5" w:rsidRPr="00F555E5" w14:paraId="74D46F07" w14:textId="77777777">
              <w:tc>
                <w:tcPr>
                  <w:tcW w:w="1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A3C9E5C" w14:textId="77777777" w:rsidR="00F555E5" w:rsidRPr="00F555E5" w:rsidRDefault="00F555E5" w:rsidP="00F555E5">
                  <w:r w:rsidRPr="00F555E5">
                    <w:rPr>
                      <w:b/>
                      <w:bCs/>
                    </w:rPr>
                    <w:t>Financial Year</w:t>
                  </w:r>
                </w:p>
              </w:tc>
              <w:tc>
                <w:tcPr>
                  <w:tcW w:w="13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29425BD" w14:textId="7773D967" w:rsidR="00F555E5" w:rsidRPr="00F555E5" w:rsidRDefault="00F555E5" w:rsidP="00F555E5">
                  <w:r w:rsidRPr="00F555E5">
                    <w:rPr>
                      <w:b/>
                      <w:bCs/>
                    </w:rPr>
                    <w:t>ITC available as per GSTR-3B</w:t>
                  </w:r>
                </w:p>
              </w:tc>
              <w:tc>
                <w:tcPr>
                  <w:tcW w:w="15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8786FF2" w14:textId="1DE18CBB" w:rsidR="00F555E5" w:rsidRPr="00F555E5" w:rsidRDefault="00F555E5" w:rsidP="00F555E5">
                  <w:r w:rsidRPr="00F555E5">
                    <w:rPr>
                      <w:b/>
                      <w:bCs/>
                    </w:rPr>
                    <w:t>ITC available as per GSTR-2B</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F6B57CF" w14:textId="77777777" w:rsidR="00F555E5" w:rsidRPr="00F555E5" w:rsidRDefault="00F555E5" w:rsidP="00F555E5">
                  <w:r w:rsidRPr="00F555E5">
                    <w:rPr>
                      <w:b/>
                      <w:bCs/>
                    </w:rPr>
                    <w:t>ITC as per Tax payer’s Credit Ledger</w:t>
                  </w:r>
                </w:p>
              </w:tc>
              <w:tc>
                <w:tcPr>
                  <w:tcW w:w="17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4144FD9" w14:textId="77777777" w:rsidR="00F555E5" w:rsidRPr="00F555E5" w:rsidRDefault="00F555E5" w:rsidP="00F555E5">
                  <w:r w:rsidRPr="00F555E5">
                    <w:rPr>
                      <w:b/>
                      <w:bCs/>
                    </w:rPr>
                    <w:t>ITC utilized against payment of GST</w:t>
                  </w:r>
                </w:p>
              </w:tc>
              <w:tc>
                <w:tcPr>
                  <w:tcW w:w="23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47F024" w14:textId="77777777" w:rsidR="00F555E5" w:rsidRPr="00F555E5" w:rsidRDefault="00F555E5" w:rsidP="00F555E5">
                  <w:r w:rsidRPr="00F555E5">
                    <w:rPr>
                      <w:b/>
                      <w:bCs/>
                    </w:rPr>
                    <w:t>Excess utilization of ITC</w:t>
                  </w:r>
                </w:p>
              </w:tc>
            </w:tr>
            <w:tr w:rsidR="00F555E5" w:rsidRPr="00F555E5" w14:paraId="16C0E10B" w14:textId="77777777">
              <w:tc>
                <w:tcPr>
                  <w:tcW w:w="1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4B44EE4" w14:textId="77777777" w:rsidR="00F555E5" w:rsidRPr="00F555E5" w:rsidRDefault="00F555E5" w:rsidP="00F555E5">
                  <w:r w:rsidRPr="00F555E5">
                    <w:rPr>
                      <w:b/>
                      <w:bCs/>
                    </w:rPr>
                    <w:t>(1)</w:t>
                  </w:r>
                </w:p>
              </w:tc>
              <w:tc>
                <w:tcPr>
                  <w:tcW w:w="13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443314E" w14:textId="77777777" w:rsidR="00F555E5" w:rsidRPr="00F555E5" w:rsidRDefault="00F555E5" w:rsidP="00F555E5">
                  <w:r w:rsidRPr="00F555E5">
                    <w:rPr>
                      <w:b/>
                      <w:bCs/>
                    </w:rPr>
                    <w:t>(2)</w:t>
                  </w:r>
                </w:p>
              </w:tc>
              <w:tc>
                <w:tcPr>
                  <w:tcW w:w="15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0C76B2F" w14:textId="77777777" w:rsidR="00F555E5" w:rsidRPr="00F555E5" w:rsidRDefault="00F555E5" w:rsidP="00F555E5">
                  <w:r w:rsidRPr="00F555E5">
                    <w:rPr>
                      <w:b/>
                      <w:bCs/>
                    </w:rPr>
                    <w:t>(3)</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D67A87C" w14:textId="77777777" w:rsidR="00F555E5" w:rsidRPr="00F555E5" w:rsidRDefault="00F555E5" w:rsidP="00F555E5">
                  <w:r w:rsidRPr="00F555E5">
                    <w:rPr>
                      <w:b/>
                      <w:bCs/>
                    </w:rPr>
                    <w:t>(4)</w:t>
                  </w:r>
                </w:p>
              </w:tc>
              <w:tc>
                <w:tcPr>
                  <w:tcW w:w="17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CB7A904" w14:textId="77777777" w:rsidR="00F555E5" w:rsidRPr="00F555E5" w:rsidRDefault="00F555E5" w:rsidP="00F555E5">
                  <w:r w:rsidRPr="00F555E5">
                    <w:rPr>
                      <w:b/>
                      <w:bCs/>
                    </w:rPr>
                    <w:t>(5)</w:t>
                  </w:r>
                </w:p>
              </w:tc>
              <w:tc>
                <w:tcPr>
                  <w:tcW w:w="23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CDBC927" w14:textId="77777777" w:rsidR="00F555E5" w:rsidRPr="00F555E5" w:rsidRDefault="00F555E5" w:rsidP="00F555E5">
                  <w:r w:rsidRPr="00F555E5">
                    <w:rPr>
                      <w:b/>
                      <w:bCs/>
                    </w:rPr>
                    <w:t>(6) = (</w:t>
                  </w:r>
                  <w:proofErr w:type="gramStart"/>
                  <w:r w:rsidRPr="00F555E5">
                    <w:rPr>
                      <w:b/>
                      <w:bCs/>
                    </w:rPr>
                    <w:t>5)minus</w:t>
                  </w:r>
                  <w:proofErr w:type="gramEnd"/>
                  <w:r w:rsidRPr="00F555E5">
                    <w:rPr>
                      <w:b/>
                      <w:bCs/>
                    </w:rPr>
                    <w:t xml:space="preserve">(4) </w:t>
                  </w:r>
                  <w:proofErr w:type="gramStart"/>
                  <w:r w:rsidRPr="00F555E5">
                    <w:rPr>
                      <w:b/>
                      <w:bCs/>
                    </w:rPr>
                    <w:t>minus(</w:t>
                  </w:r>
                  <w:proofErr w:type="gramEnd"/>
                  <w:r w:rsidRPr="00F555E5">
                    <w:rPr>
                      <w:b/>
                      <w:bCs/>
                    </w:rPr>
                    <w:t>3)</w:t>
                  </w:r>
                </w:p>
              </w:tc>
            </w:tr>
            <w:tr w:rsidR="00F555E5" w:rsidRPr="00F555E5" w14:paraId="67751958" w14:textId="77777777">
              <w:tc>
                <w:tcPr>
                  <w:tcW w:w="1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08630DA" w14:textId="77777777" w:rsidR="00F555E5" w:rsidRPr="00F555E5" w:rsidRDefault="00F555E5" w:rsidP="00F555E5">
                  <w:r w:rsidRPr="00F555E5">
                    <w:t>2019-20</w:t>
                  </w:r>
                </w:p>
              </w:tc>
              <w:tc>
                <w:tcPr>
                  <w:tcW w:w="13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70CC41B" w14:textId="77777777" w:rsidR="00F555E5" w:rsidRPr="00F555E5" w:rsidRDefault="00F555E5" w:rsidP="00F555E5">
                  <w:r w:rsidRPr="00F555E5">
                    <w:t> </w:t>
                  </w:r>
                </w:p>
              </w:tc>
              <w:tc>
                <w:tcPr>
                  <w:tcW w:w="15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FCC2064" w14:textId="77777777" w:rsidR="00F555E5" w:rsidRPr="00F555E5" w:rsidRDefault="00F555E5" w:rsidP="00F555E5">
                  <w:r w:rsidRPr="00F555E5">
                    <w:t> </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50386CD" w14:textId="77777777" w:rsidR="00F555E5" w:rsidRPr="00F555E5" w:rsidRDefault="00F555E5" w:rsidP="00F555E5">
                  <w:r w:rsidRPr="00F555E5">
                    <w:t> </w:t>
                  </w:r>
                </w:p>
              </w:tc>
              <w:tc>
                <w:tcPr>
                  <w:tcW w:w="17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35744A9" w14:textId="77777777" w:rsidR="00F555E5" w:rsidRPr="00F555E5" w:rsidRDefault="00F555E5" w:rsidP="00F555E5">
                  <w:r w:rsidRPr="00F555E5">
                    <w:t> </w:t>
                  </w:r>
                </w:p>
              </w:tc>
              <w:tc>
                <w:tcPr>
                  <w:tcW w:w="23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5F1C73C" w14:textId="77777777" w:rsidR="00F555E5" w:rsidRPr="00F555E5" w:rsidRDefault="00F555E5" w:rsidP="00F555E5">
                  <w:r w:rsidRPr="00F555E5">
                    <w:t> </w:t>
                  </w:r>
                </w:p>
              </w:tc>
            </w:tr>
            <w:tr w:rsidR="00F555E5" w:rsidRPr="00F555E5" w14:paraId="7B6DD912" w14:textId="77777777">
              <w:tc>
                <w:tcPr>
                  <w:tcW w:w="11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25A28ED" w14:textId="77777777" w:rsidR="00F555E5" w:rsidRPr="00F555E5" w:rsidRDefault="00F555E5" w:rsidP="00F555E5">
                  <w:r w:rsidRPr="00F555E5">
                    <w:t>Total</w:t>
                  </w:r>
                </w:p>
              </w:tc>
              <w:tc>
                <w:tcPr>
                  <w:tcW w:w="13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7E0CB6A" w14:textId="77777777" w:rsidR="00F555E5" w:rsidRPr="00F555E5" w:rsidRDefault="00F555E5" w:rsidP="00F555E5">
                  <w:r w:rsidRPr="00F555E5">
                    <w:t> </w:t>
                  </w:r>
                </w:p>
              </w:tc>
              <w:tc>
                <w:tcPr>
                  <w:tcW w:w="15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5E867A3" w14:textId="77777777" w:rsidR="00F555E5" w:rsidRPr="00F555E5" w:rsidRDefault="00F555E5" w:rsidP="00F555E5">
                  <w:r w:rsidRPr="00F555E5">
                    <w:t> </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FDCD904" w14:textId="77777777" w:rsidR="00F555E5" w:rsidRPr="00F555E5" w:rsidRDefault="00F555E5" w:rsidP="00F555E5">
                  <w:r w:rsidRPr="00F555E5">
                    <w:t> </w:t>
                  </w:r>
                </w:p>
              </w:tc>
              <w:tc>
                <w:tcPr>
                  <w:tcW w:w="17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67E5196" w14:textId="77777777" w:rsidR="00F555E5" w:rsidRPr="00F555E5" w:rsidRDefault="00F555E5" w:rsidP="00F555E5">
                  <w:r w:rsidRPr="00F555E5">
                    <w:t> </w:t>
                  </w:r>
                </w:p>
              </w:tc>
              <w:tc>
                <w:tcPr>
                  <w:tcW w:w="23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70CA6F5" w14:textId="77777777" w:rsidR="00F555E5" w:rsidRPr="00F555E5" w:rsidRDefault="00F555E5" w:rsidP="00F555E5">
                  <w:r w:rsidRPr="00F555E5">
                    <w:t> </w:t>
                  </w:r>
                </w:p>
              </w:tc>
            </w:tr>
          </w:tbl>
          <w:p w14:paraId="402D8019" w14:textId="75DDD370" w:rsidR="00F555E5" w:rsidRPr="00F555E5" w:rsidRDefault="00F555E5" w:rsidP="00F555E5">
            <w:r w:rsidRPr="00F555E5">
              <w:t>From the above grid, it is evident that we have not utilized excess input tax credit for payment of output tax liability for the Financial Year 2019-2020. Since we are in possession of a tax invoice or debit note issued by a supplier registered under the CGST Act, 2017 and payment has also been made to the supplier of goods and services hence our respectful submission is that we are eligible to avail input tax credit in terms of </w:t>
            </w:r>
            <w:r w:rsidRPr="00F555E5">
              <w:rPr>
                <w:b/>
                <w:bCs/>
              </w:rPr>
              <w:t>Section 16</w:t>
            </w:r>
            <w:r w:rsidRPr="00F555E5">
              <w:t>(2) of the CGST Act, 2017.</w:t>
            </w:r>
          </w:p>
          <w:p w14:paraId="2C9822F7" w14:textId="77777777" w:rsidR="00F555E5" w:rsidRPr="00F555E5" w:rsidRDefault="00F555E5" w:rsidP="00F555E5">
            <w:r w:rsidRPr="00F555E5">
              <w:t>Since we have not availed any ineligible ITC, there is no requirement for reversal of ITC and payment of interest.</w:t>
            </w:r>
          </w:p>
          <w:p w14:paraId="63821613" w14:textId="77777777" w:rsidR="00F555E5" w:rsidRPr="00F555E5" w:rsidRDefault="00F555E5" w:rsidP="00F555E5">
            <w:r w:rsidRPr="00F555E5">
              <w:t>Hope you will find the above reply in order and complete the proceedings in this matter.</w:t>
            </w:r>
          </w:p>
          <w:p w14:paraId="1095C786" w14:textId="77777777" w:rsidR="00F555E5" w:rsidRPr="00F555E5" w:rsidRDefault="00F555E5" w:rsidP="00F555E5">
            <w:r w:rsidRPr="00F555E5">
              <w:t>Thanking you</w:t>
            </w:r>
          </w:p>
          <w:p w14:paraId="5D141361" w14:textId="77777777" w:rsidR="00F555E5" w:rsidRPr="00F555E5" w:rsidRDefault="00F555E5" w:rsidP="00F555E5">
            <w:r w:rsidRPr="00F555E5">
              <w:t>Yours truly</w:t>
            </w:r>
          </w:p>
          <w:p w14:paraId="663856D0" w14:textId="77777777" w:rsidR="00F555E5" w:rsidRPr="00F555E5" w:rsidRDefault="00F555E5" w:rsidP="00F555E5">
            <w:r w:rsidRPr="00F555E5">
              <w:rPr>
                <w:b/>
                <w:bCs/>
              </w:rPr>
              <w:t>For</w:t>
            </w:r>
          </w:p>
          <w:p w14:paraId="1A675CF4" w14:textId="77777777" w:rsidR="00F555E5" w:rsidRPr="00F555E5" w:rsidRDefault="00F555E5" w:rsidP="00F555E5">
            <w:r w:rsidRPr="00F555E5">
              <w:rPr>
                <w:b/>
                <w:bCs/>
              </w:rPr>
              <w:t>Date:</w:t>
            </w:r>
          </w:p>
          <w:p w14:paraId="0A65CBFE" w14:textId="77777777" w:rsidR="00F555E5" w:rsidRPr="00F555E5" w:rsidRDefault="00F555E5" w:rsidP="00F555E5">
            <w:r w:rsidRPr="00F555E5">
              <w:rPr>
                <w:b/>
                <w:bCs/>
              </w:rPr>
              <w:t>Place:</w:t>
            </w:r>
          </w:p>
          <w:p w14:paraId="7E4F9075" w14:textId="77777777" w:rsidR="00F555E5" w:rsidRPr="00F555E5" w:rsidRDefault="00F555E5" w:rsidP="00F555E5">
            <w:r w:rsidRPr="00F555E5">
              <w:rPr>
                <w:b/>
                <w:bCs/>
              </w:rPr>
              <w:t>Encl.:</w:t>
            </w:r>
          </w:p>
        </w:tc>
      </w:tr>
      <w:tr w:rsidR="00F555E5" w:rsidRPr="00F555E5" w14:paraId="0BB0FE55" w14:textId="77777777">
        <w:trPr>
          <w:jc w:val="center"/>
        </w:trPr>
        <w:tc>
          <w:tcPr>
            <w:tcW w:w="0" w:type="auto"/>
            <w:shd w:val="clear" w:color="auto" w:fill="FFFFFF"/>
            <w:vAlign w:val="center"/>
            <w:hideMark/>
          </w:tcPr>
          <w:p w14:paraId="575FA7B0" w14:textId="77777777" w:rsidR="00F555E5" w:rsidRPr="00F555E5" w:rsidRDefault="00F555E5" w:rsidP="00F555E5">
            <w:r w:rsidRPr="00F555E5">
              <w:lastRenderedPageBreak/>
              <w:t> </w:t>
            </w:r>
          </w:p>
        </w:tc>
      </w:tr>
    </w:tbl>
    <w:p w14:paraId="7E38634D"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E5"/>
    <w:rsid w:val="00031CAE"/>
    <w:rsid w:val="00447B58"/>
    <w:rsid w:val="005237F3"/>
    <w:rsid w:val="005E4A7E"/>
    <w:rsid w:val="00E949B8"/>
    <w:rsid w:val="00F55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97D48"/>
  <w15:chartTrackingRefBased/>
  <w15:docId w15:val="{3992AD66-2F35-4603-8A03-ACFB7E765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5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55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55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55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55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55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5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5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5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5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55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55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55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55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55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5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5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5E5"/>
    <w:rPr>
      <w:rFonts w:eastAsiaTheme="majorEastAsia" w:cstheme="majorBidi"/>
      <w:color w:val="272727" w:themeColor="text1" w:themeTint="D8"/>
    </w:rPr>
  </w:style>
  <w:style w:type="paragraph" w:styleId="Title">
    <w:name w:val="Title"/>
    <w:basedOn w:val="Normal"/>
    <w:next w:val="Normal"/>
    <w:link w:val="TitleChar"/>
    <w:uiPriority w:val="10"/>
    <w:qFormat/>
    <w:rsid w:val="00F555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5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5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5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5E5"/>
    <w:pPr>
      <w:spacing w:before="160"/>
      <w:jc w:val="center"/>
    </w:pPr>
    <w:rPr>
      <w:i/>
      <w:iCs/>
      <w:color w:val="404040" w:themeColor="text1" w:themeTint="BF"/>
    </w:rPr>
  </w:style>
  <w:style w:type="character" w:customStyle="1" w:styleId="QuoteChar">
    <w:name w:val="Quote Char"/>
    <w:basedOn w:val="DefaultParagraphFont"/>
    <w:link w:val="Quote"/>
    <w:uiPriority w:val="29"/>
    <w:rsid w:val="00F555E5"/>
    <w:rPr>
      <w:i/>
      <w:iCs/>
      <w:color w:val="404040" w:themeColor="text1" w:themeTint="BF"/>
    </w:rPr>
  </w:style>
  <w:style w:type="paragraph" w:styleId="ListParagraph">
    <w:name w:val="List Paragraph"/>
    <w:basedOn w:val="Normal"/>
    <w:uiPriority w:val="34"/>
    <w:qFormat/>
    <w:rsid w:val="00F555E5"/>
    <w:pPr>
      <w:ind w:left="720"/>
      <w:contextualSpacing/>
    </w:pPr>
  </w:style>
  <w:style w:type="character" w:styleId="IntenseEmphasis">
    <w:name w:val="Intense Emphasis"/>
    <w:basedOn w:val="DefaultParagraphFont"/>
    <w:uiPriority w:val="21"/>
    <w:qFormat/>
    <w:rsid w:val="00F555E5"/>
    <w:rPr>
      <w:i/>
      <w:iCs/>
      <w:color w:val="2F5496" w:themeColor="accent1" w:themeShade="BF"/>
    </w:rPr>
  </w:style>
  <w:style w:type="paragraph" w:styleId="IntenseQuote">
    <w:name w:val="Intense Quote"/>
    <w:basedOn w:val="Normal"/>
    <w:next w:val="Normal"/>
    <w:link w:val="IntenseQuoteChar"/>
    <w:uiPriority w:val="30"/>
    <w:qFormat/>
    <w:rsid w:val="00F555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55E5"/>
    <w:rPr>
      <w:i/>
      <w:iCs/>
      <w:color w:val="2F5496" w:themeColor="accent1" w:themeShade="BF"/>
    </w:rPr>
  </w:style>
  <w:style w:type="character" w:styleId="IntenseReference">
    <w:name w:val="Intense Reference"/>
    <w:basedOn w:val="DefaultParagraphFont"/>
    <w:uiPriority w:val="32"/>
    <w:qFormat/>
    <w:rsid w:val="00F555E5"/>
    <w:rPr>
      <w:b/>
      <w:bCs/>
      <w:smallCaps/>
      <w:color w:val="2F5496" w:themeColor="accent1" w:themeShade="BF"/>
      <w:spacing w:val="5"/>
    </w:rPr>
  </w:style>
  <w:style w:type="character" w:styleId="Hyperlink">
    <w:name w:val="Hyperlink"/>
    <w:basedOn w:val="DefaultParagraphFont"/>
    <w:uiPriority w:val="99"/>
    <w:unhideWhenUsed/>
    <w:rsid w:val="00F555E5"/>
    <w:rPr>
      <w:color w:val="0563C1" w:themeColor="hyperlink"/>
      <w:u w:val="single"/>
    </w:rPr>
  </w:style>
  <w:style w:type="character" w:styleId="UnresolvedMention">
    <w:name w:val="Unresolved Mention"/>
    <w:basedOn w:val="DefaultParagraphFont"/>
    <w:uiPriority w:val="99"/>
    <w:semiHidden/>
    <w:unhideWhenUsed/>
    <w:rsid w:val="00F55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2025-10-30T10:20:00Z</dcterms:created>
  <dcterms:modified xsi:type="dcterms:W3CDTF">2025-10-30T10:22:00Z</dcterms:modified>
</cp:coreProperties>
</file>