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ED39" w14:textId="77777777" w:rsidR="00042E91" w:rsidRPr="00042E91" w:rsidRDefault="00042E91" w:rsidP="00042E91">
      <w:r w:rsidRPr="00042E91">
        <w:rPr>
          <w:b/>
          <w:bCs/>
        </w:rPr>
        <w:t>Reply to show cause notice received for reversal of ineligible ITC under section 17(5)(b) of CGST Act related to food &amp; beverages</w:t>
      </w:r>
    </w:p>
    <w:p w14:paraId="73437C1F" w14:textId="77777777" w:rsidR="00042E91" w:rsidRPr="00042E91" w:rsidRDefault="00042E91" w:rsidP="00042E91">
      <w:r w:rsidRPr="00042E91">
        <w:t>Date……………</w:t>
      </w:r>
    </w:p>
    <w:p w14:paraId="7EFD97FC" w14:textId="77777777" w:rsidR="00042E91" w:rsidRPr="00042E91" w:rsidRDefault="00042E91" w:rsidP="00042E91">
      <w:r w:rsidRPr="00042E91">
        <w:t>To,</w:t>
      </w:r>
    </w:p>
    <w:p w14:paraId="61BC9FF2" w14:textId="77777777" w:rsidR="00042E91" w:rsidRPr="00042E91" w:rsidRDefault="00042E91" w:rsidP="00042E91">
      <w:r w:rsidRPr="00042E91">
        <w:t>Respected Sir,</w:t>
      </w:r>
    </w:p>
    <w:p w14:paraId="1C50FB6E" w14:textId="77777777" w:rsidR="00042E91" w:rsidRPr="00042E91" w:rsidRDefault="00042E91" w:rsidP="00042E91">
      <w:r w:rsidRPr="00042E91">
        <w:t>...........................</w:t>
      </w:r>
    </w:p>
    <w:p w14:paraId="69CA6FBE" w14:textId="77777777" w:rsidR="00042E91" w:rsidRPr="00042E91" w:rsidRDefault="00042E91" w:rsidP="00042E91">
      <w:r w:rsidRPr="00042E91">
        <w:t>...........................</w:t>
      </w:r>
    </w:p>
    <w:p w14:paraId="162DC27D" w14:textId="77777777" w:rsidR="00042E91" w:rsidRPr="00042E91" w:rsidRDefault="00042E91" w:rsidP="00042E91">
      <w:r w:rsidRPr="00042E91">
        <w:rPr>
          <w:b/>
          <w:bCs/>
        </w:rPr>
        <w:t>Sub— Reversal of ineligible ITC which is blocked under section 17(5)(b) of CGST Act</w:t>
      </w:r>
    </w:p>
    <w:p w14:paraId="748AEF8D" w14:textId="77777777" w:rsidR="00042E91" w:rsidRPr="00042E91" w:rsidRDefault="00042E91" w:rsidP="00042E91">
      <w:r w:rsidRPr="00042E91">
        <w:rPr>
          <w:b/>
          <w:bCs/>
        </w:rPr>
        <w:t>Respected Sir/Ma`am,</w:t>
      </w:r>
    </w:p>
    <w:p w14:paraId="1114F2A1" w14:textId="77777777" w:rsidR="00042E91" w:rsidRPr="00042E91" w:rsidRDefault="00042E91" w:rsidP="00042E91">
      <w:r w:rsidRPr="00042E91">
        <w:t>We ……………………..., holding GSTIN- .......................... are in receipt of a letter issued by you in reference to the above with the subject matter "reversal of Ineligible ITC" on dated ……….</w:t>
      </w:r>
    </w:p>
    <w:p w14:paraId="6BACCE72" w14:textId="5CCCD892" w:rsidR="00042E91" w:rsidRPr="00042E91" w:rsidRDefault="00042E91" w:rsidP="00042E91">
      <w:r w:rsidRPr="00042E91">
        <w:t xml:space="preserve">In the said notice your </w:t>
      </w:r>
      <w:proofErr w:type="spellStart"/>
      <w:r w:rsidRPr="00042E91">
        <w:t>goodself</w:t>
      </w:r>
      <w:proofErr w:type="spellEnd"/>
      <w:r w:rsidRPr="00042E91">
        <w:t xml:space="preserve"> has cited that we have claimed ineligible ITC which is blocked under </w:t>
      </w:r>
      <w:r w:rsidRPr="00042E91">
        <w:rPr>
          <w:b/>
          <w:bCs/>
        </w:rPr>
        <w:t>section 17</w:t>
      </w:r>
      <w:r w:rsidRPr="00042E91">
        <w:t>(5)(b) of CGST Act which is re-produced as under—</w:t>
      </w:r>
    </w:p>
    <w:p w14:paraId="5F78E1F3" w14:textId="73AAC611" w:rsidR="00042E91" w:rsidRPr="00042E91" w:rsidRDefault="00042E91" w:rsidP="00042E91">
      <w:r w:rsidRPr="00042E91">
        <w:rPr>
          <w:i/>
          <w:iCs/>
        </w:rPr>
        <w:t>Notwithstanding anything contained in sub-section (1) of </w:t>
      </w:r>
      <w:r w:rsidRPr="00042E91">
        <w:rPr>
          <w:b/>
          <w:bCs/>
          <w:i/>
          <w:iCs/>
        </w:rPr>
        <w:t>section 16</w:t>
      </w:r>
      <w:r w:rsidRPr="00042E91">
        <w:rPr>
          <w:i/>
          <w:iCs/>
        </w:rPr>
        <w:t> and subsection (1) of </w:t>
      </w:r>
      <w:r w:rsidRPr="00042E91">
        <w:rPr>
          <w:b/>
          <w:bCs/>
          <w:i/>
          <w:iCs/>
        </w:rPr>
        <w:t>section 18</w:t>
      </w:r>
      <w:r w:rsidRPr="00042E91">
        <w:rPr>
          <w:i/>
          <w:iCs/>
        </w:rPr>
        <w:t>, input tax credit shall not be available in respect of the following, namely:</w:t>
      </w:r>
    </w:p>
    <w:p w14:paraId="3B810EE7" w14:textId="77777777" w:rsidR="00042E91" w:rsidRPr="00042E91" w:rsidRDefault="00042E91" w:rsidP="00042E91">
      <w:r w:rsidRPr="00042E91">
        <w:rPr>
          <w:i/>
          <w:iCs/>
        </w:rPr>
        <w:t>(b) the following supply of goods or services or both—</w:t>
      </w:r>
    </w:p>
    <w:p w14:paraId="612595C6" w14:textId="77777777" w:rsidR="00042E91" w:rsidRPr="00042E91" w:rsidRDefault="00042E91" w:rsidP="00042E91">
      <w:r w:rsidRPr="00042E91">
        <w:rPr>
          <w:i/>
          <w:iCs/>
        </w:rPr>
        <w:t>(</w:t>
      </w:r>
      <w:proofErr w:type="spellStart"/>
      <w:r w:rsidRPr="00042E91">
        <w:rPr>
          <w:i/>
          <w:iCs/>
        </w:rPr>
        <w:t>i</w:t>
      </w:r>
      <w:proofErr w:type="spellEnd"/>
      <w:r w:rsidRPr="00042E91">
        <w:rPr>
          <w:i/>
          <w:iCs/>
        </w:rPr>
        <w:t>) food and beverages, outdoor catering, beauty treatment, health services, cosmetic and plastic surgery, leasing, renting or hiring of Motor vehicles, vessels or aircraft referred to in clause (a) or clause (aa) except when used for the purposes specified therein, life insurance and health insurance</w:t>
      </w:r>
    </w:p>
    <w:p w14:paraId="79EFAF4F" w14:textId="77777777" w:rsidR="00042E91" w:rsidRPr="00042E91" w:rsidRDefault="00042E91" w:rsidP="00042E91">
      <w:r w:rsidRPr="00042E91">
        <w:rPr>
          <w:i/>
          <w:iCs/>
        </w:rPr>
        <w:t>Provided that the Input tax credit in respect of such goods or services or both shall be available where an Inward supply of such goods or services or both is used by a Registered person for making an outward Taxable supply of the same category of goods or services or both or as an element of a taxable composite or Mixed supply;</w:t>
      </w:r>
    </w:p>
    <w:p w14:paraId="7B25567E" w14:textId="77777777" w:rsidR="00042E91" w:rsidRPr="00042E91" w:rsidRDefault="00042E91" w:rsidP="00042E91">
      <w:r w:rsidRPr="00042E91">
        <w:rPr>
          <w:i/>
          <w:iCs/>
        </w:rPr>
        <w:t xml:space="preserve">(ii) membership of a club, health and fitness </w:t>
      </w:r>
      <w:proofErr w:type="spellStart"/>
      <w:r w:rsidRPr="00042E91">
        <w:rPr>
          <w:i/>
          <w:iCs/>
        </w:rPr>
        <w:t>centre</w:t>
      </w:r>
      <w:proofErr w:type="spellEnd"/>
      <w:r w:rsidRPr="00042E91">
        <w:rPr>
          <w:i/>
          <w:iCs/>
        </w:rPr>
        <w:t>; and</w:t>
      </w:r>
    </w:p>
    <w:p w14:paraId="62741615" w14:textId="77777777" w:rsidR="00042E91" w:rsidRPr="00042E91" w:rsidRDefault="00042E91" w:rsidP="00042E91">
      <w:r w:rsidRPr="00042E91">
        <w:rPr>
          <w:i/>
          <w:iCs/>
        </w:rPr>
        <w:t>(iii) travel benefits extended to employees on vacation such as leave or home travel concession:</w:t>
      </w:r>
    </w:p>
    <w:p w14:paraId="1A801CA4" w14:textId="77777777" w:rsidR="00042E91" w:rsidRPr="00042E91" w:rsidRDefault="00042E91" w:rsidP="00042E91">
      <w:r w:rsidRPr="00042E91">
        <w:rPr>
          <w:i/>
          <w:iCs/>
        </w:rPr>
        <w:t>Provided that the Input tax credit in respect of such goods or services or both shall be available, where it is obligatory for an employer to provide to its employees under any law for the time being in force.</w:t>
      </w:r>
    </w:p>
    <w:p w14:paraId="3FD78077" w14:textId="77777777" w:rsidR="00042E91" w:rsidRPr="00042E91" w:rsidRDefault="00042E91" w:rsidP="00042E91">
      <w:r w:rsidRPr="00042E91">
        <w:lastRenderedPageBreak/>
        <w:t>In view of the above provision, the taxpayer shall not claim input tax credit on expenses related to food and beverages, membership of club and travel benefits extended to employees.</w:t>
      </w:r>
    </w:p>
    <w:p w14:paraId="49683A9C" w14:textId="449F8768" w:rsidR="00042E91" w:rsidRPr="00042E91" w:rsidRDefault="00042E91" w:rsidP="00042E91">
      <w:r w:rsidRPr="00042E91">
        <w:t>However, as per the proviso to </w:t>
      </w:r>
      <w:r w:rsidRPr="00042E91">
        <w:rPr>
          <w:b/>
          <w:bCs/>
        </w:rPr>
        <w:t>Section 17</w:t>
      </w:r>
      <w:r w:rsidRPr="00042E91">
        <w:t>(5)(b), input tax credit in respect of such goods or services or both shall be available, where it is obligatory for an employer to provide the same to its employees under any law for the time being in force.</w:t>
      </w:r>
    </w:p>
    <w:p w14:paraId="3E9D434C" w14:textId="2DEE41DE" w:rsidR="00042E91" w:rsidRPr="00042E91" w:rsidRDefault="00042E91" w:rsidP="00042E91">
      <w:r w:rsidRPr="00042E91">
        <w:t>Further, it is seen that CBIC vide Circular No. 172/04/2022 dated 06.12.2022, issued by Ministry of Finance wherein it was clarified that the proviso after sub-clause (iii) of clause (b) of subsection (5) of </w:t>
      </w:r>
      <w:r w:rsidRPr="00042E91">
        <w:rPr>
          <w:b/>
          <w:bCs/>
        </w:rPr>
        <w:t>section 17</w:t>
      </w:r>
      <w:r w:rsidRPr="00042E91">
        <w:t> of the CGST Act is applicable to the whole of clause (b) of subsection (5) of </w:t>
      </w:r>
      <w:r w:rsidRPr="00042E91">
        <w:rPr>
          <w:b/>
          <w:bCs/>
        </w:rPr>
        <w:t>Section 17</w:t>
      </w:r>
      <w:r w:rsidRPr="00042E91">
        <w:t> of the CGST Act.</w:t>
      </w:r>
    </w:p>
    <w:p w14:paraId="322B7F2C" w14:textId="77777777" w:rsidR="00042E91" w:rsidRPr="00042E91" w:rsidRDefault="00042E91" w:rsidP="00042E91">
      <w:r w:rsidRPr="00042E91">
        <w:rPr>
          <w:b/>
          <w:bCs/>
        </w:rPr>
        <w:t>Our Submission—</w:t>
      </w:r>
    </w:p>
    <w:p w14:paraId="49BA762D" w14:textId="77777777" w:rsidR="00042E91" w:rsidRPr="00042E91" w:rsidRDefault="00042E91" w:rsidP="00042E91">
      <w:r w:rsidRPr="00042E91">
        <w:t>We humbly submit that the impugned letter has been issued based on incorrect understanding of the facts and incorrect application of the provision under law.</w:t>
      </w:r>
    </w:p>
    <w:p w14:paraId="11548939" w14:textId="7B494B93" w:rsidR="00042E91" w:rsidRPr="00042E91" w:rsidRDefault="00042E91" w:rsidP="00042E91">
      <w:r w:rsidRPr="00042E91">
        <w:t>We have not claimed any amount of input tax credit which is in violation of </w:t>
      </w:r>
      <w:r w:rsidRPr="00042E91">
        <w:rPr>
          <w:b/>
          <w:bCs/>
        </w:rPr>
        <w:t>Section 17</w:t>
      </w:r>
      <w:r w:rsidRPr="00042E91">
        <w:t>(5)(b) of the CGST Act.</w:t>
      </w:r>
    </w:p>
    <w:p w14:paraId="73210042" w14:textId="77777777" w:rsidR="00042E91" w:rsidRPr="00042E91" w:rsidRDefault="00042E91" w:rsidP="00042E91">
      <w:r w:rsidRPr="00042E91">
        <w:rPr>
          <w:b/>
          <w:bCs/>
        </w:rPr>
        <w:t>ITC on food &amp; beverages—</w:t>
      </w:r>
    </w:p>
    <w:p w14:paraId="5413D8CA" w14:textId="41EF146D" w:rsidR="00042E91" w:rsidRPr="00042E91" w:rsidRDefault="00042E91" w:rsidP="00042E91">
      <w:r w:rsidRPr="00042E91">
        <w:t>As per </w:t>
      </w:r>
      <w:r w:rsidRPr="00042E91">
        <w:rPr>
          <w:b/>
          <w:bCs/>
        </w:rPr>
        <w:t>Section 17</w:t>
      </w:r>
      <w:r w:rsidRPr="00042E91">
        <w:t>(5)(b) of CGST/TGST Act’ 2017 input tax credit in respect of such canteen facilities shall be available, where it is obligatory for an employer to provide the same to its employees under Factories Act, 1948 being in force. The same is clarified by Circular No. </w:t>
      </w:r>
      <w:r w:rsidRPr="00042E91">
        <w:rPr>
          <w:b/>
          <w:bCs/>
        </w:rPr>
        <w:t>172/04/2022</w:t>
      </w:r>
      <w:r w:rsidRPr="00042E91">
        <w:t>-GST dated 6th July, 2022. As stated by the taxpayer he is a registered unit under Factories Act, 1948.</w:t>
      </w:r>
    </w:p>
    <w:p w14:paraId="18709E1E" w14:textId="399D2F95" w:rsidR="00042E91" w:rsidRPr="00042E91" w:rsidRDefault="00042E91" w:rsidP="00042E91">
      <w:r w:rsidRPr="00042E91">
        <w:t>ANDHRA PRADESH-AAR  in case of KSH Automotive Pvt Ltd </w:t>
      </w:r>
      <w:r w:rsidRPr="00042E91">
        <w:rPr>
          <w:b/>
          <w:bCs/>
        </w:rPr>
        <w:t>[2023] (AAR-AP)</w:t>
      </w:r>
      <w:r w:rsidRPr="00042E91">
        <w:t>, held that, due to the mandatory nature of maintenance of canteen and the proviso under the sub-section of blocked credit, this authority hold that ITC will be available to the applicant in respect of GST charged by the vendors of canteens.</w:t>
      </w:r>
    </w:p>
    <w:p w14:paraId="336EAB7B" w14:textId="77777777" w:rsidR="00042E91" w:rsidRPr="00042E91" w:rsidRDefault="00042E91" w:rsidP="00042E91">
      <w:r w:rsidRPr="00042E91">
        <w:t>As we are also having canteen facility for our employees which is obligatory under Factories Act, 1948 read with factory Rules, we are also entitled to claim ITC on such expenses.</w:t>
      </w:r>
    </w:p>
    <w:p w14:paraId="37B56B92" w14:textId="77777777" w:rsidR="00042E91" w:rsidRPr="00042E91" w:rsidRDefault="00042E91" w:rsidP="00042E91">
      <w:r w:rsidRPr="00042E91">
        <w:t>We humbly request your good self to consider the above submissions and drop the proceeding under the said letter. We pray for a personal hearing on the matter and submit that the above grounds are without prejudice to one another.</w:t>
      </w:r>
    </w:p>
    <w:p w14:paraId="45EC8A5E" w14:textId="77777777" w:rsidR="00042E91" w:rsidRPr="00042E91" w:rsidRDefault="00042E91" w:rsidP="00042E91">
      <w:r w:rsidRPr="00042E91">
        <w:t>Thanking You,</w:t>
      </w:r>
    </w:p>
    <w:p w14:paraId="1D49C103"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91"/>
    <w:rsid w:val="00031CAE"/>
    <w:rsid w:val="00042E91"/>
    <w:rsid w:val="00447B58"/>
    <w:rsid w:val="005237F3"/>
    <w:rsid w:val="005E4A7E"/>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32AF"/>
  <w15:chartTrackingRefBased/>
  <w15:docId w15:val="{0814F08E-F03B-438B-8D12-AA1CBBD4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2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2E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2E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2E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2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E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2E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2E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2E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2E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2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E91"/>
    <w:rPr>
      <w:rFonts w:eastAsiaTheme="majorEastAsia" w:cstheme="majorBidi"/>
      <w:color w:val="272727" w:themeColor="text1" w:themeTint="D8"/>
    </w:rPr>
  </w:style>
  <w:style w:type="paragraph" w:styleId="Title">
    <w:name w:val="Title"/>
    <w:basedOn w:val="Normal"/>
    <w:next w:val="Normal"/>
    <w:link w:val="TitleChar"/>
    <w:uiPriority w:val="10"/>
    <w:qFormat/>
    <w:rsid w:val="00042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E91"/>
    <w:pPr>
      <w:spacing w:before="160"/>
      <w:jc w:val="center"/>
    </w:pPr>
    <w:rPr>
      <w:i/>
      <w:iCs/>
      <w:color w:val="404040" w:themeColor="text1" w:themeTint="BF"/>
    </w:rPr>
  </w:style>
  <w:style w:type="character" w:customStyle="1" w:styleId="QuoteChar">
    <w:name w:val="Quote Char"/>
    <w:basedOn w:val="DefaultParagraphFont"/>
    <w:link w:val="Quote"/>
    <w:uiPriority w:val="29"/>
    <w:rsid w:val="00042E91"/>
    <w:rPr>
      <w:i/>
      <w:iCs/>
      <w:color w:val="404040" w:themeColor="text1" w:themeTint="BF"/>
    </w:rPr>
  </w:style>
  <w:style w:type="paragraph" w:styleId="ListParagraph">
    <w:name w:val="List Paragraph"/>
    <w:basedOn w:val="Normal"/>
    <w:uiPriority w:val="34"/>
    <w:qFormat/>
    <w:rsid w:val="00042E91"/>
    <w:pPr>
      <w:ind w:left="720"/>
      <w:contextualSpacing/>
    </w:pPr>
  </w:style>
  <w:style w:type="character" w:styleId="IntenseEmphasis">
    <w:name w:val="Intense Emphasis"/>
    <w:basedOn w:val="DefaultParagraphFont"/>
    <w:uiPriority w:val="21"/>
    <w:qFormat/>
    <w:rsid w:val="00042E91"/>
    <w:rPr>
      <w:i/>
      <w:iCs/>
      <w:color w:val="2F5496" w:themeColor="accent1" w:themeShade="BF"/>
    </w:rPr>
  </w:style>
  <w:style w:type="paragraph" w:styleId="IntenseQuote">
    <w:name w:val="Intense Quote"/>
    <w:basedOn w:val="Normal"/>
    <w:next w:val="Normal"/>
    <w:link w:val="IntenseQuoteChar"/>
    <w:uiPriority w:val="30"/>
    <w:qFormat/>
    <w:rsid w:val="00042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E91"/>
    <w:rPr>
      <w:i/>
      <w:iCs/>
      <w:color w:val="2F5496" w:themeColor="accent1" w:themeShade="BF"/>
    </w:rPr>
  </w:style>
  <w:style w:type="character" w:styleId="IntenseReference">
    <w:name w:val="Intense Reference"/>
    <w:basedOn w:val="DefaultParagraphFont"/>
    <w:uiPriority w:val="32"/>
    <w:qFormat/>
    <w:rsid w:val="00042E91"/>
    <w:rPr>
      <w:b/>
      <w:bCs/>
      <w:smallCaps/>
      <w:color w:val="2F5496" w:themeColor="accent1" w:themeShade="BF"/>
      <w:spacing w:val="5"/>
    </w:rPr>
  </w:style>
  <w:style w:type="character" w:styleId="Hyperlink">
    <w:name w:val="Hyperlink"/>
    <w:basedOn w:val="DefaultParagraphFont"/>
    <w:uiPriority w:val="99"/>
    <w:unhideWhenUsed/>
    <w:rsid w:val="00042E91"/>
    <w:rPr>
      <w:color w:val="0563C1" w:themeColor="hyperlink"/>
      <w:u w:val="single"/>
    </w:rPr>
  </w:style>
  <w:style w:type="character" w:styleId="UnresolvedMention">
    <w:name w:val="Unresolved Mention"/>
    <w:basedOn w:val="DefaultParagraphFont"/>
    <w:uiPriority w:val="99"/>
    <w:semiHidden/>
    <w:unhideWhenUsed/>
    <w:rsid w:val="00042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2025-10-30T10:10:00Z</dcterms:created>
  <dcterms:modified xsi:type="dcterms:W3CDTF">2025-10-30T10:12:00Z</dcterms:modified>
</cp:coreProperties>
</file>