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C41F" w14:textId="77777777" w:rsidR="00EE2A42" w:rsidRPr="00EE2A42" w:rsidRDefault="00EE2A42" w:rsidP="00EE2A42">
      <w:r w:rsidRPr="00EE2A42">
        <w:rPr>
          <w:b/>
          <w:bCs/>
        </w:rPr>
        <w:t>Reply to show cause notice received for reversal of ITC availed on non-business transactions &amp; exempt supplies</w:t>
      </w:r>
    </w:p>
    <w:p w14:paraId="2BA2D51F" w14:textId="77777777" w:rsidR="00EE2A42" w:rsidRPr="00EE2A42" w:rsidRDefault="00EE2A42" w:rsidP="00EE2A42">
      <w:r w:rsidRPr="00EE2A42">
        <w:rPr>
          <w:b/>
          <w:bCs/>
        </w:rPr>
        <w:t>Date……………</w:t>
      </w:r>
    </w:p>
    <w:p w14:paraId="20D6C368" w14:textId="77777777" w:rsidR="00EE2A42" w:rsidRPr="00EE2A42" w:rsidRDefault="00EE2A42" w:rsidP="00EE2A42">
      <w:r w:rsidRPr="00EE2A42">
        <w:rPr>
          <w:b/>
          <w:bCs/>
        </w:rPr>
        <w:t>To,</w:t>
      </w:r>
    </w:p>
    <w:p w14:paraId="6A1328A6" w14:textId="77777777" w:rsidR="00EE2A42" w:rsidRPr="00EE2A42" w:rsidRDefault="00EE2A42" w:rsidP="00EE2A42">
      <w:r w:rsidRPr="00EE2A42">
        <w:rPr>
          <w:b/>
          <w:bCs/>
        </w:rPr>
        <w:t>Respected Sir,</w:t>
      </w:r>
    </w:p>
    <w:p w14:paraId="7C0B4729" w14:textId="77777777" w:rsidR="00EE2A42" w:rsidRPr="00EE2A42" w:rsidRDefault="00EE2A42" w:rsidP="00EE2A42">
      <w:r w:rsidRPr="00EE2A42">
        <w:rPr>
          <w:b/>
          <w:bCs/>
        </w:rPr>
        <w:t>...........................</w:t>
      </w:r>
    </w:p>
    <w:p w14:paraId="57B5EE73" w14:textId="77777777" w:rsidR="00EE2A42" w:rsidRPr="00EE2A42" w:rsidRDefault="00EE2A42" w:rsidP="00EE2A42">
      <w:r w:rsidRPr="00EE2A42">
        <w:rPr>
          <w:b/>
          <w:bCs/>
        </w:rPr>
        <w:t>...........................</w:t>
      </w:r>
    </w:p>
    <w:p w14:paraId="798983AC" w14:textId="77777777" w:rsidR="00EE2A42" w:rsidRPr="00EE2A42" w:rsidRDefault="00EE2A42" w:rsidP="00EE2A42">
      <w:r w:rsidRPr="00EE2A42">
        <w:rPr>
          <w:b/>
          <w:bCs/>
        </w:rPr>
        <w:t xml:space="preserve">Sub— "Reversal of ITC </w:t>
      </w:r>
      <w:proofErr w:type="spellStart"/>
      <w:r w:rsidRPr="00EE2A42">
        <w:rPr>
          <w:b/>
          <w:bCs/>
        </w:rPr>
        <w:t>availedon</w:t>
      </w:r>
      <w:proofErr w:type="spellEnd"/>
      <w:r w:rsidRPr="00EE2A42">
        <w:rPr>
          <w:b/>
          <w:bCs/>
        </w:rPr>
        <w:t xml:space="preserve"> non-business transactions &amp; exempt supplies"</w:t>
      </w:r>
    </w:p>
    <w:p w14:paraId="2B8D4BC8" w14:textId="77777777" w:rsidR="00EE2A42" w:rsidRPr="00EE2A42" w:rsidRDefault="00EE2A42" w:rsidP="00EE2A42">
      <w:r w:rsidRPr="00EE2A42">
        <w:t>Respected Sir/Ma`am,</w:t>
      </w:r>
    </w:p>
    <w:p w14:paraId="66A0F984" w14:textId="77777777" w:rsidR="00EE2A42" w:rsidRPr="00EE2A42" w:rsidRDefault="00EE2A42" w:rsidP="00EE2A42">
      <w:r w:rsidRPr="00EE2A42">
        <w:t>We ……………………..., holding GSTIN- .......................... are in receipt of a letter issued by you in reference to the above with the subject matter "reversal of Excess utilized ITC" on dated ……….</w:t>
      </w:r>
    </w:p>
    <w:p w14:paraId="48913031" w14:textId="79280FCF" w:rsidR="00EE2A42" w:rsidRPr="00EE2A42" w:rsidRDefault="00EE2A42" w:rsidP="00EE2A42">
      <w:r w:rsidRPr="00EE2A42">
        <w:t xml:space="preserve">In the said notice your </w:t>
      </w:r>
      <w:proofErr w:type="spellStart"/>
      <w:r w:rsidRPr="00EE2A42">
        <w:t>goodself</w:t>
      </w:r>
      <w:proofErr w:type="spellEnd"/>
      <w:r w:rsidRPr="00EE2A42">
        <w:t xml:space="preserve"> has cited certain discrepancies in the ITC availed by the notice in its </w:t>
      </w:r>
      <w:r w:rsidRPr="00EE2A42">
        <w:rPr>
          <w:b/>
          <w:bCs/>
        </w:rPr>
        <w:t>GSTR-3B</w:t>
      </w:r>
      <w:r w:rsidRPr="00EE2A42">
        <w:t> and </w:t>
      </w:r>
      <w:r w:rsidRPr="00EE2A42">
        <w:rPr>
          <w:b/>
          <w:bCs/>
        </w:rPr>
        <w:t>GSTR-9</w:t>
      </w:r>
      <w:r w:rsidRPr="00EE2A42">
        <w:t>. It has been alleged that excess ITC has been claimed by the taxpayer.</w:t>
      </w:r>
    </w:p>
    <w:p w14:paraId="04F2AF95" w14:textId="3232E0A1" w:rsidR="00EE2A42" w:rsidRPr="00EE2A42" w:rsidRDefault="00EE2A42" w:rsidP="00EE2A42">
      <w:r w:rsidRPr="00EE2A42">
        <w:t>Under </w:t>
      </w:r>
      <w:r w:rsidRPr="00EE2A42">
        <w:rPr>
          <w:b/>
          <w:bCs/>
        </w:rPr>
        <w:t>Sec 17</w:t>
      </w:r>
      <w:r w:rsidRPr="00EE2A42">
        <w:t xml:space="preserve">(1) &amp; (2) where the goods or services or both are used by the registered person partly for the purpose of business, partly for other purposes or partly used for effecting exempt supply and partly for taxable supply then the amount of credit shall be restricted to so much of the input tax as is attributable to the taxable supplies in the course of business. </w:t>
      </w:r>
      <w:proofErr w:type="gramStart"/>
      <w:r w:rsidRPr="00EE2A42">
        <w:t>Therefore</w:t>
      </w:r>
      <w:proofErr w:type="gramEnd"/>
      <w:r w:rsidRPr="00EE2A42">
        <w:t xml:space="preserve"> the taxable person needs to make an apportionment of available input tax credit under </w:t>
      </w:r>
      <w:r w:rsidRPr="00EE2A42">
        <w:rPr>
          <w:b/>
          <w:bCs/>
        </w:rPr>
        <w:t>Rule 42</w:t>
      </w:r>
      <w:r w:rsidRPr="00EE2A42">
        <w:t> &amp; </w:t>
      </w:r>
      <w:r w:rsidRPr="00EE2A42">
        <w:rPr>
          <w:b/>
          <w:bCs/>
        </w:rPr>
        <w:t>43</w:t>
      </w:r>
      <w:r w:rsidRPr="00EE2A42">
        <w:t> to arrive at the eligible ITC.</w:t>
      </w:r>
    </w:p>
    <w:p w14:paraId="6D468A31" w14:textId="77777777" w:rsidR="00EE2A42" w:rsidRPr="00EE2A42" w:rsidRDefault="00EE2A42" w:rsidP="00EE2A42">
      <w:r w:rsidRPr="00EE2A42">
        <w:t>We respectfully submit as follows—</w:t>
      </w:r>
    </w:p>
    <w:p w14:paraId="46307A4E" w14:textId="77777777" w:rsidR="00EE2A42" w:rsidRPr="00EE2A42" w:rsidRDefault="00EE2A42" w:rsidP="00EE2A42">
      <w:pPr>
        <w:numPr>
          <w:ilvl w:val="0"/>
          <w:numId w:val="1"/>
        </w:numPr>
      </w:pPr>
      <w:r w:rsidRPr="00EE2A42">
        <w:t>That we are in a retail business of supply of finished goods (both taxable and exempted). We are not engaged in manufacturing of goods. We procure taxable as well as exempted goods from the wholesalers and then selling them without any modification.</w:t>
      </w:r>
    </w:p>
    <w:p w14:paraId="4CD0C998" w14:textId="77777777" w:rsidR="00EE2A42" w:rsidRPr="00EE2A42" w:rsidRDefault="00EE2A42" w:rsidP="00EE2A42">
      <w:pPr>
        <w:numPr>
          <w:ilvl w:val="0"/>
          <w:numId w:val="1"/>
        </w:numPr>
      </w:pPr>
      <w:r w:rsidRPr="00EE2A42">
        <w:t>We procure the taxable finish goods and sale them with applicable tax rates. And in case of exempted goods, we procure exempted goods without any tax so there is no question of availing input tax credit and reversal thereof.</w:t>
      </w:r>
    </w:p>
    <w:p w14:paraId="00D29C19" w14:textId="77777777" w:rsidR="00EE2A42" w:rsidRPr="00EE2A42" w:rsidRDefault="00EE2A42" w:rsidP="00EE2A42">
      <w:pPr>
        <w:numPr>
          <w:ilvl w:val="0"/>
          <w:numId w:val="1"/>
        </w:numPr>
      </w:pPr>
      <w:r w:rsidRPr="00EE2A42">
        <w:t>We have no common expense which is being used in supply of taxable and exempted supply. Thus, any amount of input tax credit which is available in credit ledger is only pertaining to taxable outward supply.</w:t>
      </w:r>
    </w:p>
    <w:p w14:paraId="2ABB1053" w14:textId="75747EEE" w:rsidR="00EE2A42" w:rsidRPr="00EE2A42" w:rsidRDefault="00EE2A42" w:rsidP="00EE2A42">
      <w:pPr>
        <w:numPr>
          <w:ilvl w:val="0"/>
          <w:numId w:val="1"/>
        </w:numPr>
      </w:pPr>
      <w:r w:rsidRPr="00EE2A42">
        <w:t>While filing </w:t>
      </w:r>
      <w:r w:rsidRPr="00EE2A42">
        <w:rPr>
          <w:b/>
          <w:bCs/>
        </w:rPr>
        <w:t>GSTR-9</w:t>
      </w:r>
      <w:r w:rsidRPr="00EE2A42">
        <w:t> also, we have declared same amount of ITC which has been claimed in </w:t>
      </w:r>
      <w:r w:rsidRPr="00EE2A42">
        <w:rPr>
          <w:b/>
          <w:bCs/>
        </w:rPr>
        <w:t>GSTR-3</w:t>
      </w:r>
      <w:proofErr w:type="gramStart"/>
      <w:r w:rsidRPr="00EE2A42">
        <w:rPr>
          <w:b/>
          <w:bCs/>
        </w:rPr>
        <w:t>B</w:t>
      </w:r>
      <w:r w:rsidRPr="00EE2A42">
        <w:t>.So</w:t>
      </w:r>
      <w:proofErr w:type="gramEnd"/>
      <w:r w:rsidRPr="00EE2A42">
        <w:t xml:space="preserve"> there is no discrepancy in reporting input tax credit.</w:t>
      </w:r>
    </w:p>
    <w:p w14:paraId="656DFE31" w14:textId="77777777" w:rsidR="00EE2A42" w:rsidRPr="00EE2A42" w:rsidRDefault="00EE2A42" w:rsidP="00EE2A42">
      <w:r w:rsidRPr="00EE2A42">
        <w:lastRenderedPageBreak/>
        <w:t>The details of working are as under—</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38"/>
        <w:gridCol w:w="2907"/>
        <w:gridCol w:w="2699"/>
      </w:tblGrid>
      <w:tr w:rsidR="00EE2A42" w:rsidRPr="00EE2A42" w14:paraId="20B9E73D" w14:textId="77777777">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47BD926D" w14:textId="77777777" w:rsidR="00EE2A42" w:rsidRPr="00EE2A42" w:rsidRDefault="00EE2A42" w:rsidP="00EE2A42">
            <w:r w:rsidRPr="00EE2A42">
              <w:rPr>
                <w:b/>
                <w:bCs/>
              </w:rPr>
              <w:t>Particulars</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4EA7420E" w14:textId="77777777" w:rsidR="00EE2A42" w:rsidRPr="00EE2A42" w:rsidRDefault="00EE2A42" w:rsidP="00EE2A42">
            <w:r w:rsidRPr="00EE2A42">
              <w:rPr>
                <w:b/>
                <w:bCs/>
              </w:rPr>
              <w:t>CGST</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14:paraId="019DE07E" w14:textId="77777777" w:rsidR="00EE2A42" w:rsidRPr="00EE2A42" w:rsidRDefault="00EE2A42" w:rsidP="00EE2A42">
            <w:r w:rsidRPr="00EE2A42">
              <w:rPr>
                <w:b/>
                <w:bCs/>
              </w:rPr>
              <w:t>SGST</w:t>
            </w:r>
          </w:p>
        </w:tc>
      </w:tr>
      <w:tr w:rsidR="00EE2A42" w:rsidRPr="00EE2A42" w14:paraId="398D7447" w14:textId="77777777">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16E8E21C" w14:textId="77777777" w:rsidR="00EE2A42" w:rsidRPr="00EE2A42" w:rsidRDefault="00EE2A42" w:rsidP="00EE2A42">
            <w:r w:rsidRPr="00EE2A42">
              <w:t>ITC of inward supplies</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7F370E11" w14:textId="77777777" w:rsidR="00EE2A42" w:rsidRPr="00EE2A42" w:rsidRDefault="00EE2A42" w:rsidP="00EE2A42">
            <w:r w:rsidRPr="00EE2A42">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14:paraId="7E23AC14" w14:textId="77777777" w:rsidR="00EE2A42" w:rsidRPr="00EE2A42" w:rsidRDefault="00EE2A42" w:rsidP="00EE2A42">
            <w:r w:rsidRPr="00EE2A42">
              <w:t> </w:t>
            </w:r>
          </w:p>
        </w:tc>
      </w:tr>
      <w:tr w:rsidR="00EE2A42" w:rsidRPr="00EE2A42" w14:paraId="7B7F0772" w14:textId="77777777">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02B288C3" w14:textId="0DBDF5B9" w:rsidR="00EE2A42" w:rsidRPr="00EE2A42" w:rsidRDefault="00EE2A42" w:rsidP="00EE2A42">
            <w:r w:rsidRPr="00EE2A42">
              <w:t>ITC claimed in </w:t>
            </w:r>
            <w:r w:rsidRPr="00EE2A42">
              <w:rPr>
                <w:b/>
                <w:bCs/>
              </w:rPr>
              <w:t>GSTR-3B</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16354076" w14:textId="77777777" w:rsidR="00EE2A42" w:rsidRPr="00EE2A42" w:rsidRDefault="00EE2A42" w:rsidP="00EE2A42">
            <w:r w:rsidRPr="00EE2A42">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14:paraId="13F6BB60" w14:textId="77777777" w:rsidR="00EE2A42" w:rsidRPr="00EE2A42" w:rsidRDefault="00EE2A42" w:rsidP="00EE2A42">
            <w:r w:rsidRPr="00EE2A42">
              <w:t> </w:t>
            </w:r>
          </w:p>
        </w:tc>
      </w:tr>
      <w:tr w:rsidR="00EE2A42" w:rsidRPr="00EE2A42" w14:paraId="6C934549" w14:textId="77777777">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534D9BBF" w14:textId="3021C5DF" w:rsidR="00EE2A42" w:rsidRPr="00EE2A42" w:rsidRDefault="00EE2A42" w:rsidP="00EE2A42">
            <w:r w:rsidRPr="00EE2A42">
              <w:t>ITC claimed in </w:t>
            </w:r>
            <w:r w:rsidRPr="00EE2A42">
              <w:rPr>
                <w:b/>
                <w:bCs/>
              </w:rPr>
              <w:t>GSTR-9</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635CC7A0" w14:textId="77777777" w:rsidR="00EE2A42" w:rsidRPr="00EE2A42" w:rsidRDefault="00EE2A42" w:rsidP="00EE2A42">
            <w:r w:rsidRPr="00EE2A42">
              <w:t> </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14:paraId="79632BC6" w14:textId="77777777" w:rsidR="00EE2A42" w:rsidRPr="00EE2A42" w:rsidRDefault="00EE2A42" w:rsidP="00EE2A42">
            <w:r w:rsidRPr="00EE2A42">
              <w:t> </w:t>
            </w:r>
          </w:p>
        </w:tc>
      </w:tr>
      <w:tr w:rsidR="00EE2A42" w:rsidRPr="00EE2A42" w14:paraId="19A06EC5" w14:textId="77777777">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68D5F32F" w14:textId="77777777" w:rsidR="00EE2A42" w:rsidRPr="00EE2A42" w:rsidRDefault="00EE2A42" w:rsidP="00EE2A42">
            <w:r w:rsidRPr="00EE2A42">
              <w:rPr>
                <w:b/>
                <w:bCs/>
              </w:rPr>
              <w:t>Mismatch</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72DF410A" w14:textId="77777777" w:rsidR="00EE2A42" w:rsidRPr="00EE2A42" w:rsidRDefault="00EE2A42" w:rsidP="00EE2A42">
            <w:r w:rsidRPr="00EE2A42">
              <w:t>N/A</w:t>
            </w:r>
          </w:p>
        </w:tc>
        <w:tc>
          <w:tcPr>
            <w:tcW w:w="2340" w:type="dxa"/>
            <w:tcBorders>
              <w:top w:val="outset" w:sz="6" w:space="0" w:color="auto"/>
              <w:left w:val="outset" w:sz="6" w:space="0" w:color="auto"/>
              <w:bottom w:val="outset" w:sz="6" w:space="0" w:color="auto"/>
              <w:right w:val="outset" w:sz="6" w:space="0" w:color="auto"/>
            </w:tcBorders>
            <w:shd w:val="clear" w:color="auto" w:fill="FFFFFF"/>
            <w:hideMark/>
          </w:tcPr>
          <w:p w14:paraId="79CF1D35" w14:textId="77777777" w:rsidR="00EE2A42" w:rsidRPr="00EE2A42" w:rsidRDefault="00EE2A42" w:rsidP="00EE2A42">
            <w:r w:rsidRPr="00EE2A42">
              <w:t>N/A</w:t>
            </w:r>
          </w:p>
        </w:tc>
      </w:tr>
    </w:tbl>
    <w:p w14:paraId="3AC6406D" w14:textId="77777777" w:rsidR="00EE2A42" w:rsidRPr="00EE2A42" w:rsidRDefault="00EE2A42" w:rsidP="00EE2A42">
      <w:r w:rsidRPr="00EE2A42">
        <w:t>We humbly request your good self to consider the above submissions and drop the proceeding under the said letter. We pray for a personal hearing on the matter and submit that the above grounds are without prejudice to one another.</w:t>
      </w:r>
    </w:p>
    <w:p w14:paraId="62A26CAA" w14:textId="77777777" w:rsidR="00EE2A42" w:rsidRPr="00EE2A42" w:rsidRDefault="00EE2A42" w:rsidP="00EE2A42">
      <w:r w:rsidRPr="00EE2A42">
        <w:t>Thanking You,</w:t>
      </w:r>
    </w:p>
    <w:p w14:paraId="0C2F9226" w14:textId="77777777" w:rsidR="00EE2A42" w:rsidRPr="00EE2A42" w:rsidRDefault="00EE2A42" w:rsidP="00EE2A42">
      <w:r w:rsidRPr="00EE2A42">
        <w:t>……………………………………..</w:t>
      </w:r>
    </w:p>
    <w:p w14:paraId="65B4E54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B7C33"/>
    <w:multiLevelType w:val="multilevel"/>
    <w:tmpl w:val="1B04A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793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42"/>
    <w:rsid w:val="00031CAE"/>
    <w:rsid w:val="00447B58"/>
    <w:rsid w:val="005237F3"/>
    <w:rsid w:val="005E4A7E"/>
    <w:rsid w:val="00E949B8"/>
    <w:rsid w:val="00EE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02CF"/>
  <w15:chartTrackingRefBased/>
  <w15:docId w15:val="{2A29A110-2D3B-43A4-B8BC-756D600B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2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2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A42"/>
    <w:rPr>
      <w:rFonts w:eastAsiaTheme="majorEastAsia" w:cstheme="majorBidi"/>
      <w:color w:val="272727" w:themeColor="text1" w:themeTint="D8"/>
    </w:rPr>
  </w:style>
  <w:style w:type="paragraph" w:styleId="Title">
    <w:name w:val="Title"/>
    <w:basedOn w:val="Normal"/>
    <w:next w:val="Normal"/>
    <w:link w:val="TitleChar"/>
    <w:uiPriority w:val="10"/>
    <w:qFormat/>
    <w:rsid w:val="00EE2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A42"/>
    <w:pPr>
      <w:spacing w:before="160"/>
      <w:jc w:val="center"/>
    </w:pPr>
    <w:rPr>
      <w:i/>
      <w:iCs/>
      <w:color w:val="404040" w:themeColor="text1" w:themeTint="BF"/>
    </w:rPr>
  </w:style>
  <w:style w:type="character" w:customStyle="1" w:styleId="QuoteChar">
    <w:name w:val="Quote Char"/>
    <w:basedOn w:val="DefaultParagraphFont"/>
    <w:link w:val="Quote"/>
    <w:uiPriority w:val="29"/>
    <w:rsid w:val="00EE2A42"/>
    <w:rPr>
      <w:i/>
      <w:iCs/>
      <w:color w:val="404040" w:themeColor="text1" w:themeTint="BF"/>
    </w:rPr>
  </w:style>
  <w:style w:type="paragraph" w:styleId="ListParagraph">
    <w:name w:val="List Paragraph"/>
    <w:basedOn w:val="Normal"/>
    <w:uiPriority w:val="34"/>
    <w:qFormat/>
    <w:rsid w:val="00EE2A42"/>
    <w:pPr>
      <w:ind w:left="720"/>
      <w:contextualSpacing/>
    </w:pPr>
  </w:style>
  <w:style w:type="character" w:styleId="IntenseEmphasis">
    <w:name w:val="Intense Emphasis"/>
    <w:basedOn w:val="DefaultParagraphFont"/>
    <w:uiPriority w:val="21"/>
    <w:qFormat/>
    <w:rsid w:val="00EE2A42"/>
    <w:rPr>
      <w:i/>
      <w:iCs/>
      <w:color w:val="2F5496" w:themeColor="accent1" w:themeShade="BF"/>
    </w:rPr>
  </w:style>
  <w:style w:type="paragraph" w:styleId="IntenseQuote">
    <w:name w:val="Intense Quote"/>
    <w:basedOn w:val="Normal"/>
    <w:next w:val="Normal"/>
    <w:link w:val="IntenseQuoteChar"/>
    <w:uiPriority w:val="30"/>
    <w:qFormat/>
    <w:rsid w:val="00EE2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A42"/>
    <w:rPr>
      <w:i/>
      <w:iCs/>
      <w:color w:val="2F5496" w:themeColor="accent1" w:themeShade="BF"/>
    </w:rPr>
  </w:style>
  <w:style w:type="character" w:styleId="IntenseReference">
    <w:name w:val="Intense Reference"/>
    <w:basedOn w:val="DefaultParagraphFont"/>
    <w:uiPriority w:val="32"/>
    <w:qFormat/>
    <w:rsid w:val="00EE2A42"/>
    <w:rPr>
      <w:b/>
      <w:bCs/>
      <w:smallCaps/>
      <w:color w:val="2F5496" w:themeColor="accent1" w:themeShade="BF"/>
      <w:spacing w:val="5"/>
    </w:rPr>
  </w:style>
  <w:style w:type="character" w:styleId="Hyperlink">
    <w:name w:val="Hyperlink"/>
    <w:basedOn w:val="DefaultParagraphFont"/>
    <w:uiPriority w:val="99"/>
    <w:unhideWhenUsed/>
    <w:rsid w:val="00EE2A42"/>
    <w:rPr>
      <w:color w:val="0563C1" w:themeColor="hyperlink"/>
      <w:u w:val="single"/>
    </w:rPr>
  </w:style>
  <w:style w:type="character" w:styleId="UnresolvedMention">
    <w:name w:val="Unresolved Mention"/>
    <w:basedOn w:val="DefaultParagraphFont"/>
    <w:uiPriority w:val="99"/>
    <w:semiHidden/>
    <w:unhideWhenUsed/>
    <w:rsid w:val="00EE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2025-10-30T10:19:00Z</dcterms:created>
  <dcterms:modified xsi:type="dcterms:W3CDTF">2025-10-30T10:20:00Z</dcterms:modified>
</cp:coreProperties>
</file>