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B4DEE" w14:textId="77777777" w:rsidR="00D2226C" w:rsidRPr="00D2226C" w:rsidRDefault="00D2226C" w:rsidP="00D2226C">
      <w:r w:rsidRPr="00D2226C">
        <w:rPr>
          <w:b/>
          <w:bCs/>
        </w:rPr>
        <w:t xml:space="preserve">Appeal against disallowance of ITC as ITC availed after last date of </w:t>
      </w:r>
      <w:proofErr w:type="spellStart"/>
      <w:r w:rsidRPr="00D2226C">
        <w:rPr>
          <w:b/>
          <w:bCs/>
        </w:rPr>
        <w:t>availment</w:t>
      </w:r>
      <w:proofErr w:type="spellEnd"/>
      <w:r w:rsidRPr="00D2226C">
        <w:rPr>
          <w:b/>
          <w:bCs/>
        </w:rPr>
        <w:t xml:space="preserve"> u/s 16(4) of the CGST Act, 2017</w:t>
      </w:r>
    </w:p>
    <w:p w14:paraId="6149931A" w14:textId="77777777" w:rsidR="00D2226C" w:rsidRPr="00D2226C" w:rsidRDefault="00D2226C" w:rsidP="00D2226C">
      <w:r w:rsidRPr="00D2226C">
        <w:rPr>
          <w:b/>
          <w:bCs/>
        </w:rPr>
        <w:t xml:space="preserve">Statement of </w:t>
      </w:r>
      <w:proofErr w:type="gramStart"/>
      <w:r w:rsidRPr="00D2226C">
        <w:rPr>
          <w:b/>
          <w:bCs/>
        </w:rPr>
        <w:t>facts:-</w:t>
      </w:r>
      <w:proofErr w:type="gramEnd"/>
    </w:p>
    <w:p w14:paraId="5E9D3F29" w14:textId="77777777" w:rsidR="00D2226C" w:rsidRPr="00D2226C" w:rsidRDefault="00D2226C" w:rsidP="00D2226C">
      <w:r w:rsidRPr="00D2226C">
        <w:t>1. The appellant is a ........................ and is registered in ............................. State of India.</w:t>
      </w:r>
    </w:p>
    <w:p w14:paraId="518CE541" w14:textId="5AD1726F" w:rsidR="00D2226C" w:rsidRPr="00D2226C" w:rsidRDefault="00D2226C" w:rsidP="00D2226C">
      <w:r w:rsidRPr="00D2226C">
        <w:t>2. This appeal is in reference to demand order no. ........... dated ................. directing us to reverse the input tax credit availed for the month of ……………… stating that such input tax credit is irregular under </w:t>
      </w:r>
      <w:r w:rsidRPr="00D2226C">
        <w:rPr>
          <w:b/>
          <w:bCs/>
        </w:rPr>
        <w:t>Section 16</w:t>
      </w:r>
      <w:r w:rsidRPr="00D2226C">
        <w:t>(4) of CGST Act, 2017 as the return for the month of ……………… is not filed before the due date for filing of return for the month of September of succeeding financial year.</w:t>
      </w:r>
    </w:p>
    <w:p w14:paraId="2543D4E4" w14:textId="21ACAC4F" w:rsidR="00D2226C" w:rsidRPr="00D2226C" w:rsidRDefault="00D2226C" w:rsidP="00D2226C">
      <w:r w:rsidRPr="00D2226C">
        <w:t>And the said excess ITC availed by the taxpayer is to be recovered from the taxpayer under </w:t>
      </w:r>
      <w:r w:rsidRPr="00D2226C">
        <w:rPr>
          <w:b/>
          <w:bCs/>
        </w:rPr>
        <w:t>Section 74</w:t>
      </w:r>
      <w:r w:rsidRPr="00D2226C">
        <w:t> of CGST Act, 2017.</w:t>
      </w:r>
    </w:p>
    <w:p w14:paraId="364B0658" w14:textId="28A0223B" w:rsidR="00D2226C" w:rsidRPr="00D2226C" w:rsidRDefault="00D2226C" w:rsidP="00D2226C">
      <w:r w:rsidRPr="00D2226C">
        <w:t>3. During the proceedings of Scrutiny of Returns for the Financial year ……………… discrepancies found are communicated to petitioner in Form </w:t>
      </w:r>
      <w:r w:rsidRPr="00D2226C">
        <w:rPr>
          <w:b/>
          <w:bCs/>
        </w:rPr>
        <w:t>ASMT-10</w:t>
      </w:r>
      <w:r w:rsidRPr="00D2226C">
        <w:t> and petitioner were directed to furnish on Common Portal, Explanation in Form GST-</w:t>
      </w:r>
      <w:r w:rsidRPr="00D2226C">
        <w:rPr>
          <w:b/>
          <w:bCs/>
        </w:rPr>
        <w:t>ASMT -11</w:t>
      </w:r>
      <w:r w:rsidRPr="00D2226C">
        <w:t> with supporting information and documents online before due date for compliance.</w:t>
      </w:r>
    </w:p>
    <w:p w14:paraId="773F3DCD" w14:textId="7727AB80" w:rsidR="00D2226C" w:rsidRPr="00D2226C" w:rsidRDefault="00D2226C" w:rsidP="00D2226C">
      <w:r w:rsidRPr="00D2226C">
        <w:t xml:space="preserve">As per opinion of department, Appellant have availed ITC after last date of </w:t>
      </w:r>
      <w:proofErr w:type="spellStart"/>
      <w:r w:rsidRPr="00D2226C">
        <w:t>availment</w:t>
      </w:r>
      <w:proofErr w:type="spellEnd"/>
      <w:r w:rsidRPr="00D2226C">
        <w:t> </w:t>
      </w:r>
      <w:r w:rsidRPr="00D2226C">
        <w:rPr>
          <w:b/>
          <w:bCs/>
        </w:rPr>
        <w:t>u/s 16</w:t>
      </w:r>
      <w:r w:rsidRPr="00D2226C">
        <w:t>(4) of the CGST Act, 2017 in </w:t>
      </w:r>
      <w:r w:rsidRPr="00D2226C">
        <w:rPr>
          <w:b/>
          <w:bCs/>
        </w:rPr>
        <w:t>GSTR 3B</w:t>
      </w:r>
      <w:r w:rsidRPr="00D2226C">
        <w:t>. And accordingly, the ITC availed by us is irregular.</w:t>
      </w:r>
    </w:p>
    <w:p w14:paraId="5032C786" w14:textId="77777777" w:rsidR="00D2226C" w:rsidRPr="00D2226C" w:rsidRDefault="00D2226C" w:rsidP="00D2226C">
      <w:r w:rsidRPr="00D2226C">
        <w:t xml:space="preserve">The Learned Authority alleged that the Appellant wrongly availed ITC of Rs. --------/- as </w:t>
      </w:r>
      <w:proofErr w:type="gramStart"/>
      <w:r w:rsidRPr="00D2226C">
        <w:t>under:-</w:t>
      </w:r>
      <w:proofErr w:type="gramEnd"/>
    </w:p>
    <w:tbl>
      <w:tblPr>
        <w:tblW w:w="5000"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953"/>
        <w:gridCol w:w="2599"/>
        <w:gridCol w:w="1096"/>
        <w:gridCol w:w="1157"/>
        <w:gridCol w:w="987"/>
        <w:gridCol w:w="1552"/>
      </w:tblGrid>
      <w:tr w:rsidR="00D2226C" w:rsidRPr="00D2226C" w14:paraId="24A0668F" w14:textId="77777777">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471D48CE" w14:textId="77777777" w:rsidR="00D2226C" w:rsidRPr="00D2226C" w:rsidRDefault="00D2226C" w:rsidP="00D2226C">
            <w:r w:rsidRPr="00D2226C">
              <w:t>Month</w:t>
            </w:r>
          </w:p>
        </w:tc>
        <w:tc>
          <w:tcPr>
            <w:tcW w:w="2880" w:type="dxa"/>
            <w:tcBorders>
              <w:top w:val="outset" w:sz="6" w:space="0" w:color="auto"/>
              <w:left w:val="outset" w:sz="6" w:space="0" w:color="auto"/>
              <w:bottom w:val="outset" w:sz="6" w:space="0" w:color="auto"/>
              <w:right w:val="outset" w:sz="6" w:space="0" w:color="auto"/>
            </w:tcBorders>
            <w:shd w:val="clear" w:color="auto" w:fill="FFFFFF"/>
            <w:hideMark/>
          </w:tcPr>
          <w:p w14:paraId="497EDA9B" w14:textId="2A27D2B5" w:rsidR="00D2226C" w:rsidRPr="00D2226C" w:rsidRDefault="00D2226C" w:rsidP="00D2226C">
            <w:r w:rsidRPr="00D2226C">
              <w:t>Date of filing of </w:t>
            </w:r>
            <w:r w:rsidRPr="00D2226C">
              <w:rPr>
                <w:b/>
                <w:bCs/>
              </w:rPr>
              <w:t>GSTR-3B</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229548FF" w14:textId="77777777" w:rsidR="00D2226C" w:rsidRPr="00D2226C" w:rsidRDefault="00D2226C" w:rsidP="00D2226C">
            <w:r w:rsidRPr="00D2226C">
              <w:t>ITC availed in GSTR-B</w:t>
            </w:r>
          </w:p>
        </w:tc>
        <w:tc>
          <w:tcPr>
            <w:tcW w:w="1725" w:type="dxa"/>
            <w:vMerge w:val="restart"/>
            <w:tcBorders>
              <w:top w:val="outset" w:sz="6" w:space="0" w:color="auto"/>
              <w:left w:val="outset" w:sz="6" w:space="0" w:color="auto"/>
              <w:bottom w:val="outset" w:sz="6" w:space="0" w:color="auto"/>
              <w:right w:val="outset" w:sz="6" w:space="0" w:color="auto"/>
            </w:tcBorders>
            <w:shd w:val="clear" w:color="auto" w:fill="FFFFFF"/>
            <w:hideMark/>
          </w:tcPr>
          <w:p w14:paraId="541E2C90" w14:textId="77777777" w:rsidR="00D2226C" w:rsidRPr="00D2226C" w:rsidRDefault="00D2226C" w:rsidP="00D2226C">
            <w:r w:rsidRPr="00D2226C">
              <w:t>Total ITC</w:t>
            </w:r>
          </w:p>
        </w:tc>
      </w:tr>
      <w:tr w:rsidR="00D2226C" w:rsidRPr="00D2226C" w14:paraId="3C1C0EA4" w14:textId="77777777">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388B320C" w14:textId="77777777" w:rsidR="00D2226C" w:rsidRPr="00D2226C" w:rsidRDefault="00D2226C" w:rsidP="00D2226C">
            <w:r w:rsidRPr="00D2226C">
              <w:t> </w:t>
            </w:r>
          </w:p>
        </w:tc>
        <w:tc>
          <w:tcPr>
            <w:tcW w:w="1200" w:type="dxa"/>
            <w:tcBorders>
              <w:top w:val="outset" w:sz="6" w:space="0" w:color="auto"/>
              <w:left w:val="outset" w:sz="6" w:space="0" w:color="auto"/>
              <w:bottom w:val="outset" w:sz="6" w:space="0" w:color="auto"/>
              <w:right w:val="outset" w:sz="6" w:space="0" w:color="auto"/>
            </w:tcBorders>
            <w:shd w:val="clear" w:color="auto" w:fill="FFFFFF"/>
            <w:hideMark/>
          </w:tcPr>
          <w:p w14:paraId="4F0BD5BE" w14:textId="77777777" w:rsidR="00D2226C" w:rsidRPr="00D2226C" w:rsidRDefault="00D2226C" w:rsidP="00D2226C">
            <w:r w:rsidRPr="00D2226C">
              <w:t>IGST</w:t>
            </w:r>
          </w:p>
        </w:tc>
        <w:tc>
          <w:tcPr>
            <w:tcW w:w="1260" w:type="dxa"/>
            <w:tcBorders>
              <w:top w:val="outset" w:sz="6" w:space="0" w:color="auto"/>
              <w:left w:val="outset" w:sz="6" w:space="0" w:color="auto"/>
              <w:bottom w:val="outset" w:sz="6" w:space="0" w:color="auto"/>
              <w:right w:val="outset" w:sz="6" w:space="0" w:color="auto"/>
            </w:tcBorders>
            <w:shd w:val="clear" w:color="auto" w:fill="FFFFFF"/>
            <w:hideMark/>
          </w:tcPr>
          <w:p w14:paraId="1413BCA2" w14:textId="77777777" w:rsidR="00D2226C" w:rsidRPr="00D2226C" w:rsidRDefault="00D2226C" w:rsidP="00D2226C">
            <w:r w:rsidRPr="00D2226C">
              <w:t>CGST</w:t>
            </w:r>
          </w:p>
        </w:tc>
        <w:tc>
          <w:tcPr>
            <w:tcW w:w="1065" w:type="dxa"/>
            <w:tcBorders>
              <w:top w:val="outset" w:sz="6" w:space="0" w:color="auto"/>
              <w:left w:val="outset" w:sz="6" w:space="0" w:color="auto"/>
              <w:bottom w:val="outset" w:sz="6" w:space="0" w:color="auto"/>
              <w:right w:val="outset" w:sz="6" w:space="0" w:color="auto"/>
            </w:tcBorders>
            <w:shd w:val="clear" w:color="auto" w:fill="FFFFFF"/>
            <w:hideMark/>
          </w:tcPr>
          <w:p w14:paraId="543847D3" w14:textId="77777777" w:rsidR="00D2226C" w:rsidRPr="00D2226C" w:rsidRDefault="00D2226C" w:rsidP="00D2226C">
            <w:r w:rsidRPr="00D2226C">
              <w:t>SGST</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E28539B" w14:textId="77777777" w:rsidR="00D2226C" w:rsidRPr="00D2226C" w:rsidRDefault="00D2226C" w:rsidP="00D2226C"/>
        </w:tc>
      </w:tr>
      <w:tr w:rsidR="00D2226C" w:rsidRPr="00D2226C" w14:paraId="6B68EF17" w14:textId="77777777">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1B6A7F4C" w14:textId="77777777" w:rsidR="00D2226C" w:rsidRPr="00D2226C" w:rsidRDefault="00D2226C" w:rsidP="00D2226C">
            <w:r w:rsidRPr="00D2226C">
              <w:t> </w:t>
            </w:r>
          </w:p>
        </w:tc>
        <w:tc>
          <w:tcPr>
            <w:tcW w:w="2880" w:type="dxa"/>
            <w:tcBorders>
              <w:top w:val="outset" w:sz="6" w:space="0" w:color="auto"/>
              <w:left w:val="outset" w:sz="6" w:space="0" w:color="auto"/>
              <w:bottom w:val="outset" w:sz="6" w:space="0" w:color="auto"/>
              <w:right w:val="outset" w:sz="6" w:space="0" w:color="auto"/>
            </w:tcBorders>
            <w:shd w:val="clear" w:color="auto" w:fill="FFFFFF"/>
            <w:hideMark/>
          </w:tcPr>
          <w:p w14:paraId="5FA258A7" w14:textId="77777777" w:rsidR="00D2226C" w:rsidRPr="00D2226C" w:rsidRDefault="00D2226C" w:rsidP="00D2226C">
            <w:r w:rsidRPr="00D2226C">
              <w:t> </w:t>
            </w:r>
          </w:p>
        </w:tc>
        <w:tc>
          <w:tcPr>
            <w:tcW w:w="1200" w:type="dxa"/>
            <w:tcBorders>
              <w:top w:val="outset" w:sz="6" w:space="0" w:color="auto"/>
              <w:left w:val="outset" w:sz="6" w:space="0" w:color="auto"/>
              <w:bottom w:val="outset" w:sz="6" w:space="0" w:color="auto"/>
              <w:right w:val="outset" w:sz="6" w:space="0" w:color="auto"/>
            </w:tcBorders>
            <w:shd w:val="clear" w:color="auto" w:fill="FFFFFF"/>
            <w:hideMark/>
          </w:tcPr>
          <w:p w14:paraId="722FFAE5" w14:textId="77777777" w:rsidR="00D2226C" w:rsidRPr="00D2226C" w:rsidRDefault="00D2226C" w:rsidP="00D2226C">
            <w:r w:rsidRPr="00D2226C">
              <w:t> </w:t>
            </w:r>
          </w:p>
        </w:tc>
        <w:tc>
          <w:tcPr>
            <w:tcW w:w="1260" w:type="dxa"/>
            <w:tcBorders>
              <w:top w:val="outset" w:sz="6" w:space="0" w:color="auto"/>
              <w:left w:val="outset" w:sz="6" w:space="0" w:color="auto"/>
              <w:bottom w:val="outset" w:sz="6" w:space="0" w:color="auto"/>
              <w:right w:val="outset" w:sz="6" w:space="0" w:color="auto"/>
            </w:tcBorders>
            <w:shd w:val="clear" w:color="auto" w:fill="FFFFFF"/>
            <w:hideMark/>
          </w:tcPr>
          <w:p w14:paraId="35B9298A" w14:textId="77777777" w:rsidR="00D2226C" w:rsidRPr="00D2226C" w:rsidRDefault="00D2226C" w:rsidP="00D2226C">
            <w:r w:rsidRPr="00D2226C">
              <w:t> </w:t>
            </w:r>
          </w:p>
        </w:tc>
        <w:tc>
          <w:tcPr>
            <w:tcW w:w="1065" w:type="dxa"/>
            <w:tcBorders>
              <w:top w:val="outset" w:sz="6" w:space="0" w:color="auto"/>
              <w:left w:val="outset" w:sz="6" w:space="0" w:color="auto"/>
              <w:bottom w:val="outset" w:sz="6" w:space="0" w:color="auto"/>
              <w:right w:val="outset" w:sz="6" w:space="0" w:color="auto"/>
            </w:tcBorders>
            <w:shd w:val="clear" w:color="auto" w:fill="FFFFFF"/>
            <w:hideMark/>
          </w:tcPr>
          <w:p w14:paraId="1B7B60D6" w14:textId="77777777" w:rsidR="00D2226C" w:rsidRPr="00D2226C" w:rsidRDefault="00D2226C" w:rsidP="00D2226C">
            <w:r w:rsidRPr="00D2226C">
              <w:t> </w:t>
            </w:r>
          </w:p>
        </w:tc>
        <w:tc>
          <w:tcPr>
            <w:tcW w:w="1725" w:type="dxa"/>
            <w:tcBorders>
              <w:top w:val="outset" w:sz="6" w:space="0" w:color="auto"/>
              <w:left w:val="outset" w:sz="6" w:space="0" w:color="auto"/>
              <w:bottom w:val="outset" w:sz="6" w:space="0" w:color="auto"/>
              <w:right w:val="outset" w:sz="6" w:space="0" w:color="auto"/>
            </w:tcBorders>
            <w:shd w:val="clear" w:color="auto" w:fill="FFFFFF"/>
            <w:hideMark/>
          </w:tcPr>
          <w:p w14:paraId="673EB314" w14:textId="77777777" w:rsidR="00D2226C" w:rsidRPr="00D2226C" w:rsidRDefault="00D2226C" w:rsidP="00D2226C">
            <w:r w:rsidRPr="00D2226C">
              <w:t> </w:t>
            </w:r>
          </w:p>
        </w:tc>
      </w:tr>
      <w:tr w:rsidR="00D2226C" w:rsidRPr="00D2226C" w14:paraId="111D8D5B" w14:textId="77777777">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33A9239E" w14:textId="77777777" w:rsidR="00D2226C" w:rsidRPr="00D2226C" w:rsidRDefault="00D2226C" w:rsidP="00D2226C">
            <w:r w:rsidRPr="00D2226C">
              <w:t> </w:t>
            </w:r>
          </w:p>
        </w:tc>
        <w:tc>
          <w:tcPr>
            <w:tcW w:w="2880" w:type="dxa"/>
            <w:tcBorders>
              <w:top w:val="outset" w:sz="6" w:space="0" w:color="auto"/>
              <w:left w:val="outset" w:sz="6" w:space="0" w:color="auto"/>
              <w:bottom w:val="outset" w:sz="6" w:space="0" w:color="auto"/>
              <w:right w:val="outset" w:sz="6" w:space="0" w:color="auto"/>
            </w:tcBorders>
            <w:shd w:val="clear" w:color="auto" w:fill="FFFFFF"/>
            <w:hideMark/>
          </w:tcPr>
          <w:p w14:paraId="7AC82B5A" w14:textId="77777777" w:rsidR="00D2226C" w:rsidRPr="00D2226C" w:rsidRDefault="00D2226C" w:rsidP="00D2226C">
            <w:r w:rsidRPr="00D2226C">
              <w:t> </w:t>
            </w:r>
          </w:p>
        </w:tc>
        <w:tc>
          <w:tcPr>
            <w:tcW w:w="1200" w:type="dxa"/>
            <w:tcBorders>
              <w:top w:val="outset" w:sz="6" w:space="0" w:color="auto"/>
              <w:left w:val="outset" w:sz="6" w:space="0" w:color="auto"/>
              <w:bottom w:val="outset" w:sz="6" w:space="0" w:color="auto"/>
              <w:right w:val="outset" w:sz="6" w:space="0" w:color="auto"/>
            </w:tcBorders>
            <w:shd w:val="clear" w:color="auto" w:fill="FFFFFF"/>
            <w:hideMark/>
          </w:tcPr>
          <w:p w14:paraId="6C341C6B" w14:textId="77777777" w:rsidR="00D2226C" w:rsidRPr="00D2226C" w:rsidRDefault="00D2226C" w:rsidP="00D2226C">
            <w:r w:rsidRPr="00D2226C">
              <w:t> </w:t>
            </w:r>
          </w:p>
        </w:tc>
        <w:tc>
          <w:tcPr>
            <w:tcW w:w="1260" w:type="dxa"/>
            <w:tcBorders>
              <w:top w:val="outset" w:sz="6" w:space="0" w:color="auto"/>
              <w:left w:val="outset" w:sz="6" w:space="0" w:color="auto"/>
              <w:bottom w:val="outset" w:sz="6" w:space="0" w:color="auto"/>
              <w:right w:val="outset" w:sz="6" w:space="0" w:color="auto"/>
            </w:tcBorders>
            <w:shd w:val="clear" w:color="auto" w:fill="FFFFFF"/>
            <w:hideMark/>
          </w:tcPr>
          <w:p w14:paraId="26333779" w14:textId="77777777" w:rsidR="00D2226C" w:rsidRPr="00D2226C" w:rsidRDefault="00D2226C" w:rsidP="00D2226C">
            <w:r w:rsidRPr="00D2226C">
              <w:t> </w:t>
            </w:r>
          </w:p>
        </w:tc>
        <w:tc>
          <w:tcPr>
            <w:tcW w:w="1065" w:type="dxa"/>
            <w:tcBorders>
              <w:top w:val="outset" w:sz="6" w:space="0" w:color="auto"/>
              <w:left w:val="outset" w:sz="6" w:space="0" w:color="auto"/>
              <w:bottom w:val="outset" w:sz="6" w:space="0" w:color="auto"/>
              <w:right w:val="outset" w:sz="6" w:space="0" w:color="auto"/>
            </w:tcBorders>
            <w:shd w:val="clear" w:color="auto" w:fill="FFFFFF"/>
            <w:hideMark/>
          </w:tcPr>
          <w:p w14:paraId="15E3E783" w14:textId="77777777" w:rsidR="00D2226C" w:rsidRPr="00D2226C" w:rsidRDefault="00D2226C" w:rsidP="00D2226C">
            <w:r w:rsidRPr="00D2226C">
              <w:t> </w:t>
            </w:r>
          </w:p>
        </w:tc>
        <w:tc>
          <w:tcPr>
            <w:tcW w:w="1725" w:type="dxa"/>
            <w:tcBorders>
              <w:top w:val="outset" w:sz="6" w:space="0" w:color="auto"/>
              <w:left w:val="outset" w:sz="6" w:space="0" w:color="auto"/>
              <w:bottom w:val="outset" w:sz="6" w:space="0" w:color="auto"/>
              <w:right w:val="outset" w:sz="6" w:space="0" w:color="auto"/>
            </w:tcBorders>
            <w:shd w:val="clear" w:color="auto" w:fill="FFFFFF"/>
            <w:hideMark/>
          </w:tcPr>
          <w:p w14:paraId="63355C29" w14:textId="77777777" w:rsidR="00D2226C" w:rsidRPr="00D2226C" w:rsidRDefault="00D2226C" w:rsidP="00D2226C">
            <w:r w:rsidRPr="00D2226C">
              <w:t> </w:t>
            </w:r>
          </w:p>
        </w:tc>
      </w:tr>
      <w:tr w:rsidR="00D2226C" w:rsidRPr="00D2226C" w14:paraId="4594054D" w14:textId="77777777">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35C48439" w14:textId="77777777" w:rsidR="00D2226C" w:rsidRPr="00D2226C" w:rsidRDefault="00D2226C" w:rsidP="00D2226C">
            <w:r w:rsidRPr="00D2226C">
              <w:t> </w:t>
            </w:r>
          </w:p>
        </w:tc>
        <w:tc>
          <w:tcPr>
            <w:tcW w:w="2880" w:type="dxa"/>
            <w:tcBorders>
              <w:top w:val="outset" w:sz="6" w:space="0" w:color="auto"/>
              <w:left w:val="outset" w:sz="6" w:space="0" w:color="auto"/>
              <w:bottom w:val="outset" w:sz="6" w:space="0" w:color="auto"/>
              <w:right w:val="outset" w:sz="6" w:space="0" w:color="auto"/>
            </w:tcBorders>
            <w:shd w:val="clear" w:color="auto" w:fill="FFFFFF"/>
            <w:hideMark/>
          </w:tcPr>
          <w:p w14:paraId="4F113FF8" w14:textId="77777777" w:rsidR="00D2226C" w:rsidRPr="00D2226C" w:rsidRDefault="00D2226C" w:rsidP="00D2226C">
            <w:r w:rsidRPr="00D2226C">
              <w:t> </w:t>
            </w:r>
          </w:p>
        </w:tc>
        <w:tc>
          <w:tcPr>
            <w:tcW w:w="1200" w:type="dxa"/>
            <w:tcBorders>
              <w:top w:val="outset" w:sz="6" w:space="0" w:color="auto"/>
              <w:left w:val="outset" w:sz="6" w:space="0" w:color="auto"/>
              <w:bottom w:val="outset" w:sz="6" w:space="0" w:color="auto"/>
              <w:right w:val="outset" w:sz="6" w:space="0" w:color="auto"/>
            </w:tcBorders>
            <w:shd w:val="clear" w:color="auto" w:fill="FFFFFF"/>
            <w:hideMark/>
          </w:tcPr>
          <w:p w14:paraId="63CFEEF3" w14:textId="77777777" w:rsidR="00D2226C" w:rsidRPr="00D2226C" w:rsidRDefault="00D2226C" w:rsidP="00D2226C">
            <w:r w:rsidRPr="00D2226C">
              <w:t> </w:t>
            </w:r>
          </w:p>
        </w:tc>
        <w:tc>
          <w:tcPr>
            <w:tcW w:w="1260" w:type="dxa"/>
            <w:tcBorders>
              <w:top w:val="outset" w:sz="6" w:space="0" w:color="auto"/>
              <w:left w:val="outset" w:sz="6" w:space="0" w:color="auto"/>
              <w:bottom w:val="outset" w:sz="6" w:space="0" w:color="auto"/>
              <w:right w:val="outset" w:sz="6" w:space="0" w:color="auto"/>
            </w:tcBorders>
            <w:shd w:val="clear" w:color="auto" w:fill="FFFFFF"/>
            <w:hideMark/>
          </w:tcPr>
          <w:p w14:paraId="3B0EC2A9" w14:textId="77777777" w:rsidR="00D2226C" w:rsidRPr="00D2226C" w:rsidRDefault="00D2226C" w:rsidP="00D2226C">
            <w:r w:rsidRPr="00D2226C">
              <w:t> </w:t>
            </w:r>
          </w:p>
        </w:tc>
        <w:tc>
          <w:tcPr>
            <w:tcW w:w="1065" w:type="dxa"/>
            <w:tcBorders>
              <w:top w:val="outset" w:sz="6" w:space="0" w:color="auto"/>
              <w:left w:val="outset" w:sz="6" w:space="0" w:color="auto"/>
              <w:bottom w:val="outset" w:sz="6" w:space="0" w:color="auto"/>
              <w:right w:val="outset" w:sz="6" w:space="0" w:color="auto"/>
            </w:tcBorders>
            <w:shd w:val="clear" w:color="auto" w:fill="FFFFFF"/>
            <w:hideMark/>
          </w:tcPr>
          <w:p w14:paraId="404E93D4" w14:textId="77777777" w:rsidR="00D2226C" w:rsidRPr="00D2226C" w:rsidRDefault="00D2226C" w:rsidP="00D2226C">
            <w:r w:rsidRPr="00D2226C">
              <w:t> </w:t>
            </w:r>
          </w:p>
        </w:tc>
        <w:tc>
          <w:tcPr>
            <w:tcW w:w="1725" w:type="dxa"/>
            <w:tcBorders>
              <w:top w:val="outset" w:sz="6" w:space="0" w:color="auto"/>
              <w:left w:val="outset" w:sz="6" w:space="0" w:color="auto"/>
              <w:bottom w:val="outset" w:sz="6" w:space="0" w:color="auto"/>
              <w:right w:val="outset" w:sz="6" w:space="0" w:color="auto"/>
            </w:tcBorders>
            <w:shd w:val="clear" w:color="auto" w:fill="FFFFFF"/>
            <w:hideMark/>
          </w:tcPr>
          <w:p w14:paraId="2189FBF7" w14:textId="77777777" w:rsidR="00D2226C" w:rsidRPr="00D2226C" w:rsidRDefault="00D2226C" w:rsidP="00D2226C">
            <w:r w:rsidRPr="00D2226C">
              <w:t> </w:t>
            </w:r>
          </w:p>
        </w:tc>
      </w:tr>
    </w:tbl>
    <w:p w14:paraId="5A9C3B41" w14:textId="0D502EAD" w:rsidR="00D2226C" w:rsidRPr="00D2226C" w:rsidRDefault="00D2226C" w:rsidP="00D2226C">
      <w:r w:rsidRPr="00D2226C">
        <w:t>The Learned Audit Authority vide </w:t>
      </w:r>
      <w:r w:rsidRPr="00D2226C">
        <w:rPr>
          <w:b/>
          <w:bCs/>
        </w:rPr>
        <w:t>ASMT-10</w:t>
      </w:r>
      <w:r w:rsidRPr="00D2226C">
        <w:t> ARN No. ----------- dated ----------- has intimated about this discrepancy. The copy of </w:t>
      </w:r>
      <w:r w:rsidRPr="00D2226C">
        <w:rPr>
          <w:b/>
          <w:bCs/>
        </w:rPr>
        <w:t>ASMT-10</w:t>
      </w:r>
      <w:r w:rsidRPr="00D2226C">
        <w:t> dated is enclosed herewith as </w:t>
      </w:r>
      <w:r w:rsidRPr="00D2226C">
        <w:rPr>
          <w:b/>
          <w:bCs/>
        </w:rPr>
        <w:t>Annexure-A</w:t>
      </w:r>
      <w:r w:rsidRPr="00D2226C">
        <w:t>.</w:t>
      </w:r>
    </w:p>
    <w:p w14:paraId="369A161D" w14:textId="2E926858" w:rsidR="00D2226C" w:rsidRPr="00D2226C" w:rsidRDefault="00D2226C" w:rsidP="00D2226C">
      <w:r w:rsidRPr="00D2226C">
        <w:t>Based on this, the Learned Authority issued a Show Cause Notice under Section -------of the Act having Reference No. ------------- dated ----------- along with </w:t>
      </w:r>
      <w:r w:rsidRPr="00D2226C">
        <w:rPr>
          <w:b/>
          <w:bCs/>
        </w:rPr>
        <w:t>DRC-01</w:t>
      </w:r>
      <w:r w:rsidRPr="00D2226C">
        <w:t> dated ---------along with copy of </w:t>
      </w:r>
      <w:r w:rsidRPr="00D2226C">
        <w:rPr>
          <w:b/>
          <w:bCs/>
        </w:rPr>
        <w:t>DRC-01</w:t>
      </w:r>
      <w:r w:rsidRPr="00D2226C">
        <w:t> is enclosed herewith as Annexure-B</w:t>
      </w:r>
    </w:p>
    <w:p w14:paraId="504F26C8" w14:textId="59B663D2" w:rsidR="00D2226C" w:rsidRPr="00D2226C" w:rsidRDefault="00D2226C" w:rsidP="00D2226C">
      <w:r w:rsidRPr="00D2226C">
        <w:t>The Learned Adjudicating Authority has confirmed the demand vide order in GST </w:t>
      </w:r>
      <w:r w:rsidRPr="00D2226C">
        <w:rPr>
          <w:b/>
          <w:bCs/>
        </w:rPr>
        <w:t>DRC-07</w:t>
      </w:r>
      <w:r w:rsidRPr="00D2226C">
        <w:t xml:space="preserve"> having Reference No. -------------- dated ----------. The Learned Authority has confirmed the demand of </w:t>
      </w:r>
      <w:r w:rsidRPr="00D2226C">
        <w:lastRenderedPageBreak/>
        <w:t>Rs. --------- along with Interest of Rs. ---------- and penalty of Rs. ---------- The certified copy of such Order dated ---------- is enclosed and marked herewith as Annexure C.</w:t>
      </w:r>
    </w:p>
    <w:p w14:paraId="078FB51B" w14:textId="77777777" w:rsidR="00D2226C" w:rsidRPr="00D2226C" w:rsidRDefault="00D2226C" w:rsidP="00D2226C">
      <w:r w:rsidRPr="00D2226C">
        <w:t xml:space="preserve">Being aggrieved by the impugned order passed by the &lt;jurisdiction&gt; of SGST (Appeals), the Appellant has filed the present appeal before your </w:t>
      </w:r>
      <w:proofErr w:type="spellStart"/>
      <w:r w:rsidRPr="00D2226C">
        <w:t>Honour</w:t>
      </w:r>
      <w:proofErr w:type="spellEnd"/>
      <w:r w:rsidRPr="00D2226C">
        <w:t>.</w:t>
      </w:r>
    </w:p>
    <w:p w14:paraId="2F23763F" w14:textId="77777777" w:rsidR="00D2226C" w:rsidRPr="00D2226C" w:rsidRDefault="00D2226C" w:rsidP="00D2226C">
      <w:r w:rsidRPr="00D2226C">
        <w:rPr>
          <w:b/>
          <w:bCs/>
        </w:rPr>
        <w:t xml:space="preserve">Grounds of </w:t>
      </w:r>
      <w:proofErr w:type="gramStart"/>
      <w:r w:rsidRPr="00D2226C">
        <w:rPr>
          <w:b/>
          <w:bCs/>
        </w:rPr>
        <w:t>appeal:-</w:t>
      </w:r>
      <w:proofErr w:type="gramEnd"/>
    </w:p>
    <w:p w14:paraId="7E7C1384" w14:textId="145CAE23" w:rsidR="00D2226C" w:rsidRPr="00D2226C" w:rsidRDefault="00D2226C" w:rsidP="00D2226C">
      <w:r w:rsidRPr="00D2226C">
        <w:t>1. We are in receipt of the above referred letter directing us to reverse the input tax credit availed for the month of ……………. stating that such input tax credit is irregular under </w:t>
      </w:r>
      <w:r w:rsidRPr="00D2226C">
        <w:rPr>
          <w:b/>
          <w:bCs/>
        </w:rPr>
        <w:t>Section 16</w:t>
      </w:r>
      <w:r w:rsidRPr="00D2226C">
        <w:t>(4) of CGST Act, 2017 as the return for the month of March 2019 is not filed before the due date for filing of return for the month of September/ after 30th day of November succeeding financial year.</w:t>
      </w:r>
    </w:p>
    <w:p w14:paraId="7905BDD7" w14:textId="77777777" w:rsidR="00D2226C" w:rsidRPr="00D2226C" w:rsidRDefault="00D2226C" w:rsidP="00D2226C">
      <w:r w:rsidRPr="00D2226C">
        <w:t>2. At the outset, we would like to submit that the above referred notice directing us to reverse the ITC is not in accordance with law as the ITC availed by us is not irregular. We have received the goods/ services and paid the supplier in full. Hence, we are not required to reverse the same.</w:t>
      </w:r>
    </w:p>
    <w:p w14:paraId="6C50C9EE" w14:textId="7E1755E2" w:rsidR="00D2226C" w:rsidRPr="00D2226C" w:rsidRDefault="00D2226C" w:rsidP="00D2226C">
      <w:r w:rsidRPr="00D2226C">
        <w:t>In this regard, we submit that </w:t>
      </w:r>
      <w:r w:rsidRPr="00D2226C">
        <w:rPr>
          <w:b/>
          <w:bCs/>
        </w:rPr>
        <w:t>Section 16</w:t>
      </w:r>
      <w:r w:rsidRPr="00D2226C">
        <w:t> of CGST Act, 2017 provides the eligibility and conditions for taking the input tax credit. </w:t>
      </w:r>
      <w:r w:rsidRPr="00D2226C">
        <w:rPr>
          <w:b/>
          <w:bCs/>
        </w:rPr>
        <w:t>Section 16</w:t>
      </w:r>
      <w:r w:rsidRPr="00D2226C">
        <w:t>(1) reads as follows</w:t>
      </w:r>
    </w:p>
    <w:p w14:paraId="725F8DCB" w14:textId="3E644D44" w:rsidR="00D2226C" w:rsidRPr="00D2226C" w:rsidRDefault="00D2226C" w:rsidP="00D2226C">
      <w:r w:rsidRPr="00D2226C">
        <w:rPr>
          <w:i/>
          <w:iCs/>
        </w:rPr>
        <w:t>“16.(1) Every registered person shall, subject to such conditions and restrictions as may be prescribed and in the manner specified in </w:t>
      </w:r>
      <w:r w:rsidRPr="00D2226C">
        <w:rPr>
          <w:b/>
          <w:bCs/>
          <w:i/>
          <w:iCs/>
        </w:rPr>
        <w:t>section 49</w:t>
      </w:r>
      <w:r w:rsidRPr="00D2226C">
        <w:rPr>
          <w:i/>
          <w:iCs/>
        </w:rPr>
        <w:t>, be entitled to take credit of input tax charged on any supply of goods or services or both to him which are used or intended to be used in the course or furtherance of his business and the said amount shall be credited to the electronic credit ledger of such person.”</w:t>
      </w:r>
    </w:p>
    <w:p w14:paraId="56CF98F5" w14:textId="77777777" w:rsidR="00D2226C" w:rsidRPr="00D2226C" w:rsidRDefault="00D2226C" w:rsidP="00D2226C">
      <w:r w:rsidRPr="00D2226C">
        <w:t>From the above referred sub-section, it is clear that entitlement of ITC charged on any supply of goods or services is</w:t>
      </w:r>
    </w:p>
    <w:p w14:paraId="752BE4B7" w14:textId="37761F44" w:rsidR="00D2226C" w:rsidRPr="00D2226C" w:rsidRDefault="00D2226C" w:rsidP="00D2226C">
      <w:r w:rsidRPr="00D2226C">
        <w:t>a. Subject to such conditions and restrictions as may be prescribed. The conditions have been given in sub-section (2) of </w:t>
      </w:r>
      <w:r w:rsidRPr="00D2226C">
        <w:rPr>
          <w:b/>
          <w:bCs/>
        </w:rPr>
        <w:t>Section 16</w:t>
      </w:r>
      <w:r w:rsidRPr="00D2226C">
        <w:t> and restrictions have been given in </w:t>
      </w:r>
      <w:r w:rsidRPr="00D2226C">
        <w:rPr>
          <w:b/>
          <w:bCs/>
        </w:rPr>
        <w:t>Section 17</w:t>
      </w:r>
      <w:r w:rsidRPr="00D2226C">
        <w:t>.</w:t>
      </w:r>
    </w:p>
    <w:p w14:paraId="2FF22808" w14:textId="4FBBB21E" w:rsidR="00D2226C" w:rsidRPr="00D2226C" w:rsidRDefault="00D2226C" w:rsidP="00D2226C">
      <w:r w:rsidRPr="00D2226C">
        <w:t>b. In the manner specified in </w:t>
      </w:r>
      <w:r w:rsidRPr="00D2226C">
        <w:rPr>
          <w:b/>
          <w:bCs/>
        </w:rPr>
        <w:t>Section 49</w:t>
      </w:r>
      <w:r w:rsidRPr="00D2226C">
        <w:t>. Sub-section (2) to </w:t>
      </w:r>
      <w:r w:rsidRPr="00D2226C">
        <w:rPr>
          <w:b/>
          <w:bCs/>
        </w:rPr>
        <w:t>Section 49</w:t>
      </w:r>
      <w:r w:rsidRPr="00D2226C">
        <w:t> states that the ITC as self-assessed in the return shall be credited to this electronic credit ledger in accordance with </w:t>
      </w:r>
      <w:r w:rsidRPr="00D2226C">
        <w:rPr>
          <w:b/>
          <w:bCs/>
        </w:rPr>
        <w:t>Section 41</w:t>
      </w:r>
      <w:r w:rsidRPr="00D2226C">
        <w:t>.</w:t>
      </w:r>
    </w:p>
    <w:p w14:paraId="77F695F1" w14:textId="77777777" w:rsidR="00D2226C" w:rsidRPr="00D2226C" w:rsidRDefault="00D2226C" w:rsidP="00D2226C">
      <w:r w:rsidRPr="00D2226C">
        <w:t>c. Such goods or services are used or intended to be used in the course or furtherance of business;</w:t>
      </w:r>
    </w:p>
    <w:p w14:paraId="49E332FD" w14:textId="77777777" w:rsidR="00D2226C" w:rsidRPr="00D2226C" w:rsidRDefault="00D2226C" w:rsidP="00D2226C">
      <w:r w:rsidRPr="00D2226C">
        <w:t>Though there is no allegation in the above referred order regarding the satisfaction of above referred conditions, we would like to submit how we have satisfied the said conditions and why we are rightly eligible for ITC.</w:t>
      </w:r>
    </w:p>
    <w:p w14:paraId="2C27F83E" w14:textId="7C8FEDF8" w:rsidR="00D2226C" w:rsidRPr="00D2226C" w:rsidRDefault="00D2226C" w:rsidP="00D2226C">
      <w:r w:rsidRPr="00D2226C">
        <w:t>With respect to conditions specified in sub-section (2) to </w:t>
      </w:r>
      <w:r w:rsidRPr="00D2226C">
        <w:rPr>
          <w:b/>
          <w:bCs/>
        </w:rPr>
        <w:t>Section 16</w:t>
      </w:r>
      <w:r w:rsidRPr="00D2226C">
        <w:t>, we submit that the said sub-section is beginning with a non-obstante clause to the entire </w:t>
      </w:r>
      <w:r w:rsidRPr="00D2226C">
        <w:rPr>
          <w:b/>
          <w:bCs/>
        </w:rPr>
        <w:t>Section 16</w:t>
      </w:r>
      <w:r w:rsidRPr="00D2226C">
        <w:t> which means that the same prevails over all other sub-sections in </w:t>
      </w:r>
      <w:r w:rsidRPr="00D2226C">
        <w:rPr>
          <w:b/>
          <w:bCs/>
        </w:rPr>
        <w:t>Section 16</w:t>
      </w:r>
      <w:r w:rsidRPr="00D2226C">
        <w:t>. The conditions have been satisfied as follows</w:t>
      </w:r>
    </w:p>
    <w:p w14:paraId="146B1E52" w14:textId="266C2878" w:rsidR="00D2226C" w:rsidRPr="00D2226C" w:rsidRDefault="00D2226C" w:rsidP="00D2226C">
      <w:r w:rsidRPr="00D2226C">
        <w:t>a. We are in possession of tax invoice/debit note/other documents prescribed under </w:t>
      </w:r>
      <w:r w:rsidRPr="00D2226C">
        <w:rPr>
          <w:b/>
          <w:bCs/>
        </w:rPr>
        <w:t>Rule 36</w:t>
      </w:r>
      <w:r w:rsidRPr="00D2226C">
        <w:t> of CGST Rules, 2017;</w:t>
      </w:r>
    </w:p>
    <w:p w14:paraId="6C76E150" w14:textId="77777777" w:rsidR="00D2226C" w:rsidRPr="00D2226C" w:rsidRDefault="00D2226C" w:rsidP="00D2226C">
      <w:r w:rsidRPr="00D2226C">
        <w:t>b. We have received the goods or services or both;</w:t>
      </w:r>
    </w:p>
    <w:p w14:paraId="27AEBCBD" w14:textId="1E1784EE" w:rsidR="00D2226C" w:rsidRPr="00D2226C" w:rsidRDefault="00D2226C" w:rsidP="00D2226C">
      <w:r w:rsidRPr="00D2226C">
        <w:t>c. The condition to track whether the tax charged in respect of the inward supply has been actually paid to Government seems impossible as there is no invoice level linkage with </w:t>
      </w:r>
      <w:r w:rsidRPr="00D2226C">
        <w:rPr>
          <w:b/>
          <w:bCs/>
        </w:rPr>
        <w:t>GSTR-3B</w:t>
      </w:r>
      <w:r w:rsidRPr="00D2226C">
        <w:t> of the supplier as it is a summary return. However, we have made payment to our suppliers in respect of which we have availed the input tax credit provisionally under </w:t>
      </w:r>
      <w:r w:rsidRPr="00D2226C">
        <w:rPr>
          <w:b/>
          <w:bCs/>
        </w:rPr>
        <w:t>Section 41</w:t>
      </w:r>
    </w:p>
    <w:p w14:paraId="758B701B" w14:textId="60433419" w:rsidR="00D2226C" w:rsidRPr="00D2226C" w:rsidRDefault="00D2226C" w:rsidP="00D2226C">
      <w:r w:rsidRPr="00D2226C">
        <w:t>d. We have filed the return under </w:t>
      </w:r>
      <w:r w:rsidRPr="00D2226C">
        <w:rPr>
          <w:b/>
          <w:bCs/>
        </w:rPr>
        <w:t>Section 39</w:t>
      </w:r>
      <w:r w:rsidRPr="00D2226C">
        <w:t> of CGST Act, 2017. Once a return has been filed with a late fee, the provision of </w:t>
      </w:r>
      <w:r w:rsidRPr="00D2226C">
        <w:rPr>
          <w:b/>
          <w:bCs/>
        </w:rPr>
        <w:t>Section 16</w:t>
      </w:r>
      <w:r w:rsidRPr="00D2226C">
        <w:t xml:space="preserve">(4) should not defeat a substantial claim of ITC which is otherwise allowable under the provisions CGST Act, 2017. Even though the returns are filed belatedly, the </w:t>
      </w:r>
      <w:proofErr w:type="spellStart"/>
      <w:r w:rsidRPr="00D2226C">
        <w:t>assessees</w:t>
      </w:r>
      <w:proofErr w:type="spellEnd"/>
      <w:r w:rsidRPr="00D2226C">
        <w:t xml:space="preserve"> can claim that they have paid late fees and by paying late fee, the delay in filing return has been regularized. The case law of </w:t>
      </w:r>
      <w:proofErr w:type="spellStart"/>
      <w:r w:rsidRPr="00D2226C">
        <w:t>Mr</w:t>
      </w:r>
      <w:proofErr w:type="spellEnd"/>
      <w:r w:rsidRPr="00D2226C">
        <w:t xml:space="preserve"> </w:t>
      </w:r>
      <w:proofErr w:type="spellStart"/>
      <w:r w:rsidRPr="00D2226C">
        <w:t>Rashmikant</w:t>
      </w:r>
      <w:proofErr w:type="spellEnd"/>
      <w:r w:rsidRPr="00D2226C">
        <w:t xml:space="preserve"> Kundalia vs Union of India 771 of 2014 (Bom.) and Howrah Taxpayers’ Association Vs. The Government of West Bengal and </w:t>
      </w:r>
      <w:proofErr w:type="spellStart"/>
      <w:r w:rsidRPr="00D2226C">
        <w:t>Anr</w:t>
      </w:r>
      <w:proofErr w:type="spellEnd"/>
      <w:r w:rsidRPr="00D2226C">
        <w:t>. 2010 SCC Online Cal 2520 comes handy in such submissions.  Thus, it can be contented that once the delay has been regularized, such returns have to be construed to be filed within the due date.</w:t>
      </w:r>
    </w:p>
    <w:p w14:paraId="0158A6A9" w14:textId="0BF4A8AF" w:rsidR="00D2226C" w:rsidRPr="00D2226C" w:rsidRDefault="00D2226C" w:rsidP="00D2226C">
      <w:r w:rsidRPr="00D2226C">
        <w:t>Once the returns have been filed after payment of applicable late fee under </w:t>
      </w:r>
      <w:r w:rsidRPr="00D2226C">
        <w:rPr>
          <w:b/>
          <w:bCs/>
        </w:rPr>
        <w:t>Section 47</w:t>
      </w:r>
      <w:r w:rsidRPr="00D2226C">
        <w:t> of the CGST Act, 2017, which in fact allows the taxpayer to file the returns beyond the due date; such a return should have been accepted without applying the provision of </w:t>
      </w:r>
      <w:r w:rsidRPr="00D2226C">
        <w:rPr>
          <w:b/>
          <w:bCs/>
        </w:rPr>
        <w:t>Section 16</w:t>
      </w:r>
      <w:r w:rsidRPr="00D2226C">
        <w:t>(4) of the CGST Act, 2017.</w:t>
      </w:r>
    </w:p>
    <w:p w14:paraId="40FE55C5" w14:textId="780C56CD" w:rsidR="00D2226C" w:rsidRPr="00D2226C" w:rsidRDefault="00D2226C" w:rsidP="00D2226C">
      <w:r w:rsidRPr="00D2226C">
        <w:t>With respect to restrictions specified under </w:t>
      </w:r>
      <w:r w:rsidRPr="00D2226C">
        <w:rPr>
          <w:b/>
          <w:bCs/>
        </w:rPr>
        <w:t>Section 17</w:t>
      </w:r>
      <w:r w:rsidRPr="00D2226C">
        <w:t>, we submit that we have not availed any of the restricted credit.</w:t>
      </w:r>
    </w:p>
    <w:p w14:paraId="782D3F21" w14:textId="77777777" w:rsidR="00D2226C" w:rsidRPr="00D2226C" w:rsidRDefault="00D2226C" w:rsidP="00D2226C">
      <w:r w:rsidRPr="00D2226C">
        <w:t>3. With respect to use or intention to use goods and services received in the course of furtherance of business, we submit that all the goods and services received on which ITC has been availed are used in the course or furtherance of business. Therefore, this condition is also satisfied.</w:t>
      </w:r>
    </w:p>
    <w:p w14:paraId="7ADBD51D" w14:textId="425CDAD7" w:rsidR="00D2226C" w:rsidRPr="00D2226C" w:rsidRDefault="00D2226C" w:rsidP="00D2226C">
      <w:r w:rsidRPr="00D2226C">
        <w:t>4. From the above submissions, it is clear that we have satisfied all the conditions specified under sub-section (1) to </w:t>
      </w:r>
      <w:r w:rsidRPr="00D2226C">
        <w:rPr>
          <w:b/>
          <w:bCs/>
        </w:rPr>
        <w:t>Section 16</w:t>
      </w:r>
      <w:r w:rsidRPr="00D2226C">
        <w:t> therefore, we are rightly eligible for ITC availed in the return for the Month of March 2019.</w:t>
      </w:r>
    </w:p>
    <w:p w14:paraId="5E8BAAC0" w14:textId="1DF08CD9" w:rsidR="00D2226C" w:rsidRPr="00D2226C" w:rsidRDefault="00D2226C" w:rsidP="00D2226C">
      <w:r w:rsidRPr="00D2226C">
        <w:t>The above referred order has stated that we are not entitled for ITC in accordance with sub-section (4) to </w:t>
      </w:r>
      <w:r w:rsidRPr="00D2226C">
        <w:rPr>
          <w:b/>
          <w:bCs/>
        </w:rPr>
        <w:t>Section 16</w:t>
      </w:r>
      <w:r w:rsidRPr="00D2226C">
        <w:t> which reads as follows—</w:t>
      </w:r>
    </w:p>
    <w:p w14:paraId="2F227346" w14:textId="6D9BE6B2" w:rsidR="00D2226C" w:rsidRPr="00D2226C" w:rsidRDefault="00D2226C" w:rsidP="00D2226C">
      <w:r w:rsidRPr="00D2226C">
        <w:t>“(4) A registered person shall not be entitled to take input tax credit in respect of any invoice or debit note for supply of goods or services or both after the due date of furnishing of the return under </w:t>
      </w:r>
      <w:r w:rsidRPr="00D2226C">
        <w:rPr>
          <w:b/>
          <w:bCs/>
        </w:rPr>
        <w:t>Section 39</w:t>
      </w:r>
      <w:r w:rsidRPr="00D2226C">
        <w:t> for the month of September following the end of financial year to which such invoice or invoice relating to such debit note pertains or furnishing of the relevant annual return, whichever is earlier.”</w:t>
      </w:r>
    </w:p>
    <w:p w14:paraId="57AD1101" w14:textId="73F65737" w:rsidR="00D2226C" w:rsidRPr="00D2226C" w:rsidRDefault="00D2226C" w:rsidP="00D2226C">
      <w:r w:rsidRPr="00D2226C">
        <w:t>This sub-section denies the entitlement to take ITC after the due date of return under </w:t>
      </w:r>
      <w:r w:rsidRPr="00D2226C">
        <w:rPr>
          <w:b/>
          <w:bCs/>
        </w:rPr>
        <w:t>Section 39</w:t>
      </w:r>
      <w:r w:rsidRPr="00D2226C">
        <w:t> for the month of September following the respective financial year or filing of annual return for respective financial year whichever is earlier.</w:t>
      </w:r>
    </w:p>
    <w:p w14:paraId="257245A2" w14:textId="4F29EFE7" w:rsidR="00D2226C" w:rsidRPr="00D2226C" w:rsidRDefault="00D2226C" w:rsidP="00D2226C">
      <w:r w:rsidRPr="00D2226C">
        <w:t>5. We would like to submit that asking the tax payers to comply with </w:t>
      </w:r>
      <w:r w:rsidRPr="00D2226C">
        <w:rPr>
          <w:b/>
          <w:bCs/>
        </w:rPr>
        <w:t>Section 16</w:t>
      </w:r>
      <w:r w:rsidRPr="00D2226C">
        <w:t xml:space="preserve">(4) is against the principle of "Lex non </w:t>
      </w:r>
      <w:proofErr w:type="spellStart"/>
      <w:r w:rsidRPr="00D2226C">
        <w:t>Cogit</w:t>
      </w:r>
      <w:proofErr w:type="spellEnd"/>
      <w:r w:rsidRPr="00D2226C">
        <w:t xml:space="preserve"> </w:t>
      </w:r>
      <w:proofErr w:type="spellStart"/>
      <w:r w:rsidRPr="00D2226C">
        <w:t>ad</w:t>
      </w:r>
      <w:proofErr w:type="spellEnd"/>
      <w:r w:rsidRPr="00D2226C">
        <w:t xml:space="preserve"> </w:t>
      </w:r>
      <w:proofErr w:type="spellStart"/>
      <w:r w:rsidRPr="00D2226C">
        <w:t>impossibilia</w:t>
      </w:r>
      <w:proofErr w:type="spellEnd"/>
      <w:r w:rsidRPr="00D2226C">
        <w:t>" i.e., the law does not compel a man to do that which he cannot possibly perform. Since the law cannot compel the tax payers to comply with impossible conditions, the proposal to denial of ITC under </w:t>
      </w:r>
      <w:r w:rsidRPr="00D2226C">
        <w:rPr>
          <w:b/>
          <w:bCs/>
        </w:rPr>
        <w:t>Section 16</w:t>
      </w:r>
      <w:r w:rsidRPr="00D2226C">
        <w:t>(4) is not sustainable.</w:t>
      </w:r>
    </w:p>
    <w:p w14:paraId="2BE60B67" w14:textId="77777777" w:rsidR="00D2226C" w:rsidRPr="00D2226C" w:rsidRDefault="00D2226C" w:rsidP="00D2226C">
      <w:r w:rsidRPr="00D2226C">
        <w:t>6. We would like to submit that the proposal to deny ITC due to procedural lapse is in violation of Article 300A of Constitution of India which states that “No person shall be deprived of his property save by the authority of law”. Input tax credit under GST would be treated as a property of the taxpayer therefore the same cannot be denied to the tax payers due to non-fulfilling the procedural conditions.</w:t>
      </w:r>
    </w:p>
    <w:p w14:paraId="3350470F" w14:textId="1D1C26DC" w:rsidR="00D2226C" w:rsidRPr="00D2226C" w:rsidRDefault="00D2226C" w:rsidP="00D2226C">
      <w:r w:rsidRPr="00D2226C">
        <w:t>7. Further, we submit that proviso to </w:t>
      </w:r>
      <w:r w:rsidRPr="00D2226C">
        <w:rPr>
          <w:b/>
          <w:bCs/>
        </w:rPr>
        <w:t>Section 16</w:t>
      </w:r>
      <w:r w:rsidRPr="00D2226C">
        <w:t xml:space="preserve">(4) allowed tax payers to avail the credit for the year 17-18 until due date for furnishing the return for the month of March 2019. </w:t>
      </w:r>
      <w:proofErr w:type="gramStart"/>
      <w:r w:rsidRPr="00D2226C">
        <w:t>However</w:t>
      </w:r>
      <w:proofErr w:type="gramEnd"/>
      <w:r w:rsidRPr="00D2226C">
        <w:t xml:space="preserve"> for the year 18-19, credit is restricted </w:t>
      </w:r>
      <w:proofErr w:type="spellStart"/>
      <w:r w:rsidRPr="00D2226C">
        <w:t>upto</w:t>
      </w:r>
      <w:proofErr w:type="spellEnd"/>
      <w:r w:rsidRPr="00D2226C">
        <w:t xml:space="preserve"> the due date of filing the return for the month of September 2019, which is arbitrary, considering the fact that the issues which persisted in 17-18, continued even in 18-19 also, therefore the relaxation / extension provided for the year 17-</w:t>
      </w:r>
      <w:proofErr w:type="gramStart"/>
      <w:r w:rsidRPr="00D2226C">
        <w:t>18 ,</w:t>
      </w:r>
      <w:proofErr w:type="gramEnd"/>
      <w:r w:rsidRPr="00D2226C">
        <w:t xml:space="preserve"> should be extended for the year 18-19 also.</w:t>
      </w:r>
    </w:p>
    <w:p w14:paraId="29C2DFB8" w14:textId="50B277AC" w:rsidR="00D2226C" w:rsidRPr="00D2226C" w:rsidRDefault="00D2226C" w:rsidP="00D2226C">
      <w:r w:rsidRPr="00D2226C">
        <w:t>8. We would also like to submit that most of the details of input tax credit are already available in </w:t>
      </w:r>
      <w:r w:rsidRPr="00D2226C">
        <w:rPr>
          <w:b/>
          <w:bCs/>
        </w:rPr>
        <w:t>GSTR-2A</w:t>
      </w:r>
      <w:r w:rsidRPr="00D2226C">
        <w:t> which is available with the department prior to due date prescribed under </w:t>
      </w:r>
      <w:r w:rsidRPr="00D2226C">
        <w:rPr>
          <w:b/>
          <w:bCs/>
        </w:rPr>
        <w:t>Section 16</w:t>
      </w:r>
      <w:r w:rsidRPr="00D2226C">
        <w:t xml:space="preserve">(4) and the </w:t>
      </w:r>
      <w:proofErr w:type="spellStart"/>
      <w:r w:rsidRPr="00D2226C">
        <w:t>availment</w:t>
      </w:r>
      <w:proofErr w:type="spellEnd"/>
      <w:r w:rsidRPr="00D2226C">
        <w:t xml:space="preserve"> of such ITC would be a mere disclosure in </w:t>
      </w:r>
      <w:r w:rsidRPr="00D2226C">
        <w:rPr>
          <w:b/>
          <w:bCs/>
        </w:rPr>
        <w:t>GSTR-3B</w:t>
      </w:r>
      <w:r w:rsidRPr="00D2226C">
        <w:t>, therefore, the substantial benefit cannot be denied due to procedural lapse of mere non-disclosure in </w:t>
      </w:r>
      <w:r w:rsidRPr="00D2226C">
        <w:rPr>
          <w:b/>
          <w:bCs/>
        </w:rPr>
        <w:t>GSTR-3B</w:t>
      </w:r>
      <w:r w:rsidRPr="00D2226C">
        <w:t> within the due date.</w:t>
      </w:r>
    </w:p>
    <w:p w14:paraId="340D6472" w14:textId="77777777" w:rsidR="00D2226C" w:rsidRPr="00D2226C" w:rsidRDefault="00D2226C" w:rsidP="00D2226C">
      <w:r w:rsidRPr="00D2226C">
        <w:t>9. Please refer following judicial pronouncement—</w:t>
      </w:r>
    </w:p>
    <w:p w14:paraId="00D331A6" w14:textId="77777777" w:rsidR="00D2226C" w:rsidRPr="00D2226C" w:rsidRDefault="00D2226C" w:rsidP="00D2226C">
      <w:r w:rsidRPr="00D2226C">
        <w:rPr>
          <w:b/>
          <w:bCs/>
        </w:rPr>
        <w:t>Facility of credit is a vested right, as had been held in erstwhile Central Excise law</w:t>
      </w:r>
      <w:r w:rsidRPr="00D2226C">
        <w:t>—The Hon’ble Apex Court in Eicher Motors Ltd v Union of India, 1999 (106) E.L.T. 3 (SC) had recognized the provision for facility of credit as a vested right. Thus, the credit earned under the GST Act is a property of the taxable person and therefore the denial of ITC is in violation of Article 300A of the Constitution of India. Article 300A provides that no person shall be deprived of his property save by authority of law.</w:t>
      </w:r>
    </w:p>
    <w:p w14:paraId="412464AD" w14:textId="30200470" w:rsidR="00D2226C" w:rsidRPr="00D2226C" w:rsidRDefault="00D2226C" w:rsidP="00D2226C">
      <w:r w:rsidRPr="00D2226C">
        <w:t xml:space="preserve">MADRAS HIGH COURT in case of Kavin hp Gas Gramin </w:t>
      </w:r>
      <w:proofErr w:type="spellStart"/>
      <w:r w:rsidRPr="00D2226C">
        <w:t>Vitrak</w:t>
      </w:r>
      <w:proofErr w:type="spellEnd"/>
      <w:r w:rsidRPr="00D2226C">
        <w:t xml:space="preserve"> V/s The Commissioner of Commercial Taxes </w:t>
      </w:r>
      <w:r w:rsidRPr="00D2226C">
        <w:rPr>
          <w:b/>
          <w:bCs/>
        </w:rPr>
        <w:t>[2023] (Madras)</w:t>
      </w:r>
      <w:r w:rsidRPr="00D2226C">
        <w:t xml:space="preserve">, has allowed the belated claim of ITC owing to cash crunch that led the </w:t>
      </w:r>
      <w:proofErr w:type="spellStart"/>
      <w:r w:rsidRPr="00D2226C">
        <w:t>assessee</w:t>
      </w:r>
      <w:proofErr w:type="spellEnd"/>
      <w:r w:rsidRPr="00D2226C">
        <w:t xml:space="preserve"> to file </w:t>
      </w:r>
      <w:r w:rsidRPr="00D2226C">
        <w:rPr>
          <w:b/>
          <w:bCs/>
        </w:rPr>
        <w:t>GSTR-3B</w:t>
      </w:r>
      <w:r w:rsidRPr="00D2226C">
        <w:t> and </w:t>
      </w:r>
      <w:r w:rsidRPr="00D2226C">
        <w:rPr>
          <w:b/>
          <w:bCs/>
        </w:rPr>
        <w:t>GSTR-2</w:t>
      </w:r>
      <w:r w:rsidRPr="00D2226C">
        <w:t> belatedly and in offline modes, while the same was rejected for belated filing.</w:t>
      </w:r>
    </w:p>
    <w:p w14:paraId="2C37239B" w14:textId="5DDF6031" w:rsidR="00D2226C" w:rsidRPr="00D2226C" w:rsidRDefault="00D2226C" w:rsidP="00D2226C">
      <w:r w:rsidRPr="00D2226C">
        <w:t>The most important observations being, “Hence if the GSTN provided option for filing GSTN without payment of tax or incomplete </w:t>
      </w:r>
      <w:r w:rsidRPr="00D2226C">
        <w:rPr>
          <w:b/>
          <w:bCs/>
        </w:rPr>
        <w:t>GSTR-3B</w:t>
      </w:r>
      <w:r w:rsidRPr="00D2226C">
        <w:t>, the dealer would be eligible for claiming of input tax credit. The same was not provided in GSTN network hence, the dealers are restricted to claim ITC on the ground of non-filing of </w:t>
      </w:r>
      <w:r w:rsidRPr="00D2226C">
        <w:rPr>
          <w:b/>
          <w:bCs/>
        </w:rPr>
        <w:t>GSTR-3B</w:t>
      </w:r>
      <w:r w:rsidRPr="00D2226C">
        <w:t> within prescribed time if the option of filing incomplete filing of </w:t>
      </w:r>
      <w:r w:rsidRPr="00D2226C">
        <w:rPr>
          <w:b/>
          <w:bCs/>
        </w:rPr>
        <w:t>GSTR-3B</w:t>
      </w:r>
      <w:r w:rsidRPr="00D2226C">
        <w:t xml:space="preserve"> are provided in the GSTN network the dealers would avail the claim and determine self-assessed ITC in online. The petitioner had expressed real practical difficulty. The GST Council may be the appropriate authority but the respondents ought to take steps to rectify the same. Until then the respondents ought to allow the dealers to file returns manually”, the bench allowed the appeal in </w:t>
      </w:r>
      <w:proofErr w:type="spellStart"/>
      <w:r w:rsidRPr="00D2226C">
        <w:t>favour</w:t>
      </w:r>
      <w:proofErr w:type="spellEnd"/>
      <w:r w:rsidRPr="00D2226C">
        <w:t xml:space="preserve"> of the </w:t>
      </w:r>
      <w:proofErr w:type="spellStart"/>
      <w:r w:rsidRPr="00D2226C">
        <w:t>assessee</w:t>
      </w:r>
      <w:proofErr w:type="spellEnd"/>
      <w:r w:rsidRPr="00D2226C">
        <w:t>.</w:t>
      </w:r>
    </w:p>
    <w:p w14:paraId="5A5DBFAF" w14:textId="000DFE11" w:rsidR="00D2226C" w:rsidRPr="00D2226C" w:rsidRDefault="00D2226C" w:rsidP="00D2226C">
      <w:r w:rsidRPr="00D2226C">
        <w:rPr>
          <w:b/>
          <w:bCs/>
        </w:rPr>
        <w:t>Recently, Supreme Court in case of Shanti Motors</w:t>
      </w:r>
      <w:r w:rsidRPr="00D2226C">
        <w:t> </w:t>
      </w:r>
      <w:r w:rsidRPr="00D2226C">
        <w:rPr>
          <w:b/>
          <w:bCs/>
        </w:rPr>
        <w:t>[2024] (SC)</w:t>
      </w:r>
      <w:r w:rsidRPr="00D2226C">
        <w:t> admitted the SLP and issued Notice to department on the issue of time limit to avail input tax credit </w:t>
      </w:r>
      <w:r w:rsidRPr="00D2226C">
        <w:rPr>
          <w:b/>
          <w:bCs/>
        </w:rPr>
        <w:t>u/s 16</w:t>
      </w:r>
      <w:r w:rsidRPr="00D2226C">
        <w:t>(4) of CGST Act.</w:t>
      </w:r>
    </w:p>
    <w:p w14:paraId="598F7643" w14:textId="13AA1C57" w:rsidR="00D2226C" w:rsidRPr="00D2226C" w:rsidRDefault="00D2226C" w:rsidP="00D2226C">
      <w:r w:rsidRPr="00D2226C">
        <w:rPr>
          <w:b/>
          <w:bCs/>
        </w:rPr>
        <w:t>The Hon`ble Supreme Court of India in the case of Mrityunjay Kumar v. Union of India</w:t>
      </w:r>
      <w:r w:rsidRPr="00D2226C">
        <w:t> </w:t>
      </w:r>
      <w:r w:rsidRPr="00D2226C">
        <w:rPr>
          <w:b/>
          <w:bCs/>
        </w:rPr>
        <w:t>[2024] (SC)</w:t>
      </w:r>
      <w:r w:rsidRPr="00D2226C">
        <w:t> issued notice vide order dated January 3, 2024, wherein the judgment of the Patna High Court in the case of Gobinda Construction v. Union of India and Others was challenged wherein </w:t>
      </w:r>
      <w:r w:rsidRPr="00D2226C">
        <w:rPr>
          <w:b/>
          <w:bCs/>
        </w:rPr>
        <w:t>Section 16</w:t>
      </w:r>
      <w:r w:rsidRPr="00D2226C">
        <w:t>(4) of the CGST/BGST Act, 2017 was held as constitutionally valid.</w:t>
      </w:r>
    </w:p>
    <w:p w14:paraId="6FB8D270" w14:textId="77777777" w:rsidR="00D2226C" w:rsidRPr="00D2226C" w:rsidRDefault="00D2226C" w:rsidP="00D2226C">
      <w:r w:rsidRPr="00D2226C">
        <w:t>Till final view emerges from Apex Court in this regard, it is requested to drop the proceedings.</w:t>
      </w:r>
    </w:p>
    <w:p w14:paraId="206DF452" w14:textId="77777777" w:rsidR="00D2226C" w:rsidRPr="00D2226C" w:rsidRDefault="00D2226C" w:rsidP="00D2226C">
      <w:r w:rsidRPr="00D2226C">
        <w:t>10. We further submit that Suppression in self-assessment can arise only when information sought is not supplied, or incorrect information is provided.</w:t>
      </w:r>
    </w:p>
    <w:p w14:paraId="3542BB57" w14:textId="44C26E4D" w:rsidR="00D2226C" w:rsidRPr="00D2226C" w:rsidRDefault="00D2226C" w:rsidP="00D2226C">
      <w:r w:rsidRPr="00D2226C">
        <w:t>As per </w:t>
      </w:r>
      <w:r w:rsidRPr="00D2226C">
        <w:rPr>
          <w:b/>
          <w:bCs/>
        </w:rPr>
        <w:t>Section 74</w:t>
      </w:r>
      <w:r w:rsidRPr="00D2226C">
        <w:t xml:space="preserve">(1) of CGST Act, Where it appears to the Proper officer that any tax has not been paid or short paid or erroneously refunded or where Input tax credit has been wrongly availed or </w:t>
      </w:r>
      <w:proofErr w:type="spellStart"/>
      <w:r w:rsidRPr="00D2226C">
        <w:t>utilised</w:t>
      </w:r>
      <w:proofErr w:type="spellEnd"/>
      <w:r w:rsidRPr="00D2226C">
        <w:t xml:space="preserve"> by reason of fraud, or any </w:t>
      </w:r>
      <w:proofErr w:type="spellStart"/>
      <w:r w:rsidRPr="00D2226C">
        <w:t>wilful</w:t>
      </w:r>
      <w:proofErr w:type="spellEnd"/>
      <w:r w:rsidRPr="00D2226C">
        <w:t xml:space="preserve">-misstatement or Suppression of facts to evade tax, he shall serve notice on the person chargeable with tax which has not been so paid or which has been so short paid or to whom the refund has erroneously been made, or who has wrongly availed or </w:t>
      </w:r>
      <w:proofErr w:type="spellStart"/>
      <w:r w:rsidRPr="00D2226C">
        <w:t>utilised</w:t>
      </w:r>
      <w:proofErr w:type="spellEnd"/>
      <w:r w:rsidRPr="00D2226C">
        <w:t xml:space="preserve"> Input tax credit, requiring him to show cause as to why he should not pay the amount specified in the notice along with interest payable thereon under </w:t>
      </w:r>
      <w:r w:rsidRPr="00D2226C">
        <w:rPr>
          <w:b/>
          <w:bCs/>
        </w:rPr>
        <w:t>Section 50</w:t>
      </w:r>
      <w:r w:rsidRPr="00D2226C">
        <w:t> and a penalty equivalent to the tax specified in the notice i.e. 100% of tax component.</w:t>
      </w:r>
    </w:p>
    <w:p w14:paraId="5C19D25E" w14:textId="773B1BD7" w:rsidR="00D2226C" w:rsidRPr="00D2226C" w:rsidRDefault="00D2226C" w:rsidP="00D2226C">
      <w:r w:rsidRPr="00D2226C">
        <w:t xml:space="preserve">Since the proper officer failed to produce any evidence that we have suppressed any facts which led to evasion of tax, ITC claimed by us </w:t>
      </w:r>
      <w:proofErr w:type="gramStart"/>
      <w:r w:rsidRPr="00D2226C">
        <w:t>should  not</w:t>
      </w:r>
      <w:proofErr w:type="gramEnd"/>
      <w:r w:rsidRPr="00D2226C">
        <w:t xml:space="preserve">  </w:t>
      </w:r>
      <w:proofErr w:type="gramStart"/>
      <w:r w:rsidRPr="00D2226C">
        <w:t>be  denied</w:t>
      </w:r>
      <w:proofErr w:type="gramEnd"/>
      <w:r w:rsidRPr="00D2226C">
        <w:t xml:space="preserve">  </w:t>
      </w:r>
      <w:proofErr w:type="gramStart"/>
      <w:r w:rsidRPr="00D2226C">
        <w:t>and  demanded</w:t>
      </w:r>
      <w:proofErr w:type="gramEnd"/>
      <w:r w:rsidRPr="00D2226C">
        <w:t xml:space="preserve">  </w:t>
      </w:r>
      <w:proofErr w:type="gramStart"/>
      <w:r w:rsidRPr="00D2226C">
        <w:t>under  </w:t>
      </w:r>
      <w:r w:rsidRPr="00D2226C">
        <w:rPr>
          <w:b/>
          <w:bCs/>
        </w:rPr>
        <w:t>Section</w:t>
      </w:r>
      <w:proofErr w:type="gramEnd"/>
      <w:r w:rsidRPr="00D2226C">
        <w:rPr>
          <w:b/>
          <w:bCs/>
        </w:rPr>
        <w:t xml:space="preserve">  </w:t>
      </w:r>
      <w:proofErr w:type="gramStart"/>
      <w:r w:rsidRPr="00D2226C">
        <w:rPr>
          <w:b/>
          <w:bCs/>
        </w:rPr>
        <w:t>74</w:t>
      </w:r>
      <w:r w:rsidRPr="00D2226C">
        <w:t>  (</w:t>
      </w:r>
      <w:proofErr w:type="gramEnd"/>
      <w:r w:rsidRPr="00D2226C">
        <w:t>1</w:t>
      </w:r>
      <w:proofErr w:type="gramStart"/>
      <w:r w:rsidRPr="00D2226C">
        <w:t>)  of</w:t>
      </w:r>
      <w:proofErr w:type="gramEnd"/>
      <w:r w:rsidRPr="00D2226C">
        <w:t xml:space="preserve">  </w:t>
      </w:r>
      <w:proofErr w:type="gramStart"/>
      <w:r w:rsidRPr="00D2226C">
        <w:t>the  CGST</w:t>
      </w:r>
      <w:proofErr w:type="gramEnd"/>
      <w:r w:rsidRPr="00D2226C">
        <w:t xml:space="preserve">  </w:t>
      </w:r>
      <w:proofErr w:type="gramStart"/>
      <w:r w:rsidRPr="00D2226C">
        <w:t>Act,  2017</w:t>
      </w:r>
      <w:proofErr w:type="gramEnd"/>
      <w:r w:rsidRPr="00D2226C">
        <w:t xml:space="preserve">  </w:t>
      </w:r>
      <w:proofErr w:type="gramStart"/>
      <w:r w:rsidRPr="00D2226C">
        <w:t>read  with</w:t>
      </w:r>
      <w:proofErr w:type="gramEnd"/>
      <w:r w:rsidRPr="00D2226C">
        <w:t>  </w:t>
      </w:r>
      <w:proofErr w:type="gramStart"/>
      <w:r w:rsidRPr="00D2226C">
        <w:rPr>
          <w:b/>
          <w:bCs/>
        </w:rPr>
        <w:t>Section  20</w:t>
      </w:r>
      <w:proofErr w:type="gramEnd"/>
      <w:r w:rsidRPr="00D2226C">
        <w:t xml:space="preserve">  </w:t>
      </w:r>
      <w:proofErr w:type="gramStart"/>
      <w:r w:rsidRPr="00D2226C">
        <w:t>of  the</w:t>
      </w:r>
      <w:proofErr w:type="gramEnd"/>
      <w:r w:rsidRPr="00D2226C">
        <w:t xml:space="preserve">  </w:t>
      </w:r>
      <w:proofErr w:type="gramStart"/>
      <w:r w:rsidRPr="00D2226C">
        <w:t>IGST  Act,  2017</w:t>
      </w:r>
      <w:proofErr w:type="gramEnd"/>
      <w:r w:rsidRPr="00D2226C">
        <w:t>.</w:t>
      </w:r>
    </w:p>
    <w:p w14:paraId="65A85137" w14:textId="77777777" w:rsidR="00D2226C" w:rsidRPr="00D2226C" w:rsidRDefault="00D2226C" w:rsidP="00D2226C">
      <w:proofErr w:type="gramStart"/>
      <w:r w:rsidRPr="00D2226C">
        <w:rPr>
          <w:b/>
          <w:bCs/>
        </w:rPr>
        <w:t>Prayer:-</w:t>
      </w:r>
      <w:proofErr w:type="gramEnd"/>
    </w:p>
    <w:p w14:paraId="0540887F" w14:textId="4170B6BD" w:rsidR="00D2226C" w:rsidRPr="00D2226C" w:rsidRDefault="00D2226C" w:rsidP="00D2226C">
      <w:r w:rsidRPr="00D2226C">
        <w:t>1. Based on above submissions, we are of the view that the credit availed by us would not get restricted under </w:t>
      </w:r>
      <w:r w:rsidRPr="00D2226C">
        <w:rPr>
          <w:b/>
          <w:bCs/>
        </w:rPr>
        <w:t>Section 16</w:t>
      </w:r>
      <w:r w:rsidRPr="00D2226C">
        <w:t>(4) of CGST Act, 2017. Therefore, we request your good self to drop further proceedings in this regard.</w:t>
      </w:r>
    </w:p>
    <w:p w14:paraId="17C117A0" w14:textId="7FCBA069" w:rsidR="00D2226C" w:rsidRPr="00D2226C" w:rsidRDefault="00D2226C" w:rsidP="00D2226C">
      <w:r w:rsidRPr="00D2226C">
        <w:t>2. No recovery shall be made from the taxpayer under </w:t>
      </w:r>
      <w:r w:rsidRPr="00D2226C">
        <w:rPr>
          <w:b/>
          <w:bCs/>
        </w:rPr>
        <w:t>Section 74</w:t>
      </w:r>
      <w:r w:rsidRPr="00D2226C">
        <w:t xml:space="preserve"> of CGST Act, 2017 as ITC claimed by the </w:t>
      </w:r>
      <w:proofErr w:type="spellStart"/>
      <w:r w:rsidRPr="00D2226C">
        <w:t>assesse</w:t>
      </w:r>
      <w:proofErr w:type="spellEnd"/>
      <w:r w:rsidRPr="00D2226C">
        <w:t xml:space="preserve"> is in accordance with law.</w:t>
      </w:r>
    </w:p>
    <w:p w14:paraId="65B42466" w14:textId="77777777" w:rsidR="00D2226C" w:rsidRPr="00D2226C" w:rsidRDefault="00D2226C" w:rsidP="00D2226C">
      <w:r w:rsidRPr="00D2226C">
        <w:t>Drop further proceedings in this regard.</w:t>
      </w:r>
    </w:p>
    <w:p w14:paraId="78203B78"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26C"/>
    <w:rsid w:val="00031CAE"/>
    <w:rsid w:val="00447B58"/>
    <w:rsid w:val="005237F3"/>
    <w:rsid w:val="00D2226C"/>
    <w:rsid w:val="00E949B8"/>
    <w:rsid w:val="00F0522F"/>
    <w:rsid w:val="00FF6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77938"/>
  <w15:chartTrackingRefBased/>
  <w15:docId w15:val="{AAFB7ACD-16EA-4DB7-AEF1-D2E8386EE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22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222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2226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2226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2226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222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22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22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22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226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222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2226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2226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2226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222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22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22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226C"/>
    <w:rPr>
      <w:rFonts w:eastAsiaTheme="majorEastAsia" w:cstheme="majorBidi"/>
      <w:color w:val="272727" w:themeColor="text1" w:themeTint="D8"/>
    </w:rPr>
  </w:style>
  <w:style w:type="paragraph" w:styleId="Title">
    <w:name w:val="Title"/>
    <w:basedOn w:val="Normal"/>
    <w:next w:val="Normal"/>
    <w:link w:val="TitleChar"/>
    <w:uiPriority w:val="10"/>
    <w:qFormat/>
    <w:rsid w:val="00D222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22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22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22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226C"/>
    <w:pPr>
      <w:spacing w:before="160"/>
      <w:jc w:val="center"/>
    </w:pPr>
    <w:rPr>
      <w:i/>
      <w:iCs/>
      <w:color w:val="404040" w:themeColor="text1" w:themeTint="BF"/>
    </w:rPr>
  </w:style>
  <w:style w:type="character" w:customStyle="1" w:styleId="QuoteChar">
    <w:name w:val="Quote Char"/>
    <w:basedOn w:val="DefaultParagraphFont"/>
    <w:link w:val="Quote"/>
    <w:uiPriority w:val="29"/>
    <w:rsid w:val="00D2226C"/>
    <w:rPr>
      <w:i/>
      <w:iCs/>
      <w:color w:val="404040" w:themeColor="text1" w:themeTint="BF"/>
    </w:rPr>
  </w:style>
  <w:style w:type="paragraph" w:styleId="ListParagraph">
    <w:name w:val="List Paragraph"/>
    <w:basedOn w:val="Normal"/>
    <w:uiPriority w:val="34"/>
    <w:qFormat/>
    <w:rsid w:val="00D2226C"/>
    <w:pPr>
      <w:ind w:left="720"/>
      <w:contextualSpacing/>
    </w:pPr>
  </w:style>
  <w:style w:type="character" w:styleId="IntenseEmphasis">
    <w:name w:val="Intense Emphasis"/>
    <w:basedOn w:val="DefaultParagraphFont"/>
    <w:uiPriority w:val="21"/>
    <w:qFormat/>
    <w:rsid w:val="00D2226C"/>
    <w:rPr>
      <w:i/>
      <w:iCs/>
      <w:color w:val="2F5496" w:themeColor="accent1" w:themeShade="BF"/>
    </w:rPr>
  </w:style>
  <w:style w:type="paragraph" w:styleId="IntenseQuote">
    <w:name w:val="Intense Quote"/>
    <w:basedOn w:val="Normal"/>
    <w:next w:val="Normal"/>
    <w:link w:val="IntenseQuoteChar"/>
    <w:uiPriority w:val="30"/>
    <w:qFormat/>
    <w:rsid w:val="00D222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2226C"/>
    <w:rPr>
      <w:i/>
      <w:iCs/>
      <w:color w:val="2F5496" w:themeColor="accent1" w:themeShade="BF"/>
    </w:rPr>
  </w:style>
  <w:style w:type="character" w:styleId="IntenseReference">
    <w:name w:val="Intense Reference"/>
    <w:basedOn w:val="DefaultParagraphFont"/>
    <w:uiPriority w:val="32"/>
    <w:qFormat/>
    <w:rsid w:val="00D2226C"/>
    <w:rPr>
      <w:b/>
      <w:bCs/>
      <w:smallCaps/>
      <w:color w:val="2F5496" w:themeColor="accent1" w:themeShade="BF"/>
      <w:spacing w:val="5"/>
    </w:rPr>
  </w:style>
  <w:style w:type="character" w:styleId="Hyperlink">
    <w:name w:val="Hyperlink"/>
    <w:basedOn w:val="DefaultParagraphFont"/>
    <w:uiPriority w:val="99"/>
    <w:unhideWhenUsed/>
    <w:rsid w:val="00D2226C"/>
    <w:rPr>
      <w:color w:val="0563C1" w:themeColor="hyperlink"/>
      <w:u w:val="single"/>
    </w:rPr>
  </w:style>
  <w:style w:type="character" w:styleId="UnresolvedMention">
    <w:name w:val="Unresolved Mention"/>
    <w:basedOn w:val="DefaultParagraphFont"/>
    <w:uiPriority w:val="99"/>
    <w:semiHidden/>
    <w:unhideWhenUsed/>
    <w:rsid w:val="00D222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2012</Words>
  <Characters>11473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2025-10-30T05:35:00Z</dcterms:created>
  <dcterms:modified xsi:type="dcterms:W3CDTF">2025-10-30T05:58:00Z</dcterms:modified>
</cp:coreProperties>
</file>