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D76F88" w:rsidRPr="00D76F88" w14:paraId="6DF1F835" w14:textId="77777777">
        <w:trPr>
          <w:jc w:val="center"/>
        </w:trPr>
        <w:tc>
          <w:tcPr>
            <w:tcW w:w="0" w:type="auto"/>
            <w:shd w:val="clear" w:color="auto" w:fill="FFFFFF"/>
            <w:vAlign w:val="center"/>
            <w:hideMark/>
          </w:tcPr>
          <w:p w14:paraId="2999CBD6" w14:textId="77777777" w:rsidR="00D76F88" w:rsidRPr="00D76F88" w:rsidRDefault="00D76F88" w:rsidP="00D76F88">
            <w:r w:rsidRPr="00D76F88">
              <w:rPr>
                <w:b/>
                <w:bCs/>
              </w:rPr>
              <w:t>Appeal against disallowance of ITC due to difference in GSTR-3B and GSTR-2A</w:t>
            </w:r>
          </w:p>
          <w:p w14:paraId="0C2DA51D" w14:textId="77777777" w:rsidR="00D76F88" w:rsidRPr="00D76F88" w:rsidRDefault="00D76F88" w:rsidP="00D76F88">
            <w:r w:rsidRPr="00D76F88">
              <w:t>Statement of facts:-</w:t>
            </w:r>
          </w:p>
          <w:p w14:paraId="4E24113E" w14:textId="77777777" w:rsidR="00D76F88" w:rsidRPr="00D76F88" w:rsidRDefault="00D76F88" w:rsidP="00D76F88">
            <w:r w:rsidRPr="00D76F88">
              <w:t>1. The appellant is a ........................ and is registered in ............................. State of India.</w:t>
            </w:r>
          </w:p>
          <w:p w14:paraId="58B64AD8" w14:textId="353918F1" w:rsidR="00D76F88" w:rsidRPr="00D76F88" w:rsidRDefault="00D76F88" w:rsidP="00D76F88">
            <w:r w:rsidRPr="00D76F88">
              <w:t>2. This appeal is in reference to demand order no. ........... dated ................. regarding disallowance of excess ITC availed by the taxpayer and the same is to be recovered from the taxpayer under </w:t>
            </w:r>
            <w:r w:rsidRPr="00D76F88">
              <w:rPr>
                <w:b/>
                <w:bCs/>
              </w:rPr>
              <w:t>Section 73</w:t>
            </w:r>
            <w:r w:rsidRPr="00D76F88">
              <w:t> of CGST Act, 2017.</w:t>
            </w:r>
          </w:p>
          <w:p w14:paraId="646219B5" w14:textId="77777777" w:rsidR="00D76F88" w:rsidRPr="00D76F88" w:rsidRDefault="00D76F88" w:rsidP="00D76F88">
            <w:r w:rsidRPr="00D76F88">
              <w:t>3. The taxpayer has availed ITC on Input &amp; Input Services and utilized the same towards payment of outward Tax.</w:t>
            </w:r>
          </w:p>
          <w:p w14:paraId="22811B68" w14:textId="5242DDC9" w:rsidR="00D76F88" w:rsidRPr="00D76F88" w:rsidRDefault="00D76F88" w:rsidP="00D76F88">
            <w:r w:rsidRPr="00D76F88">
              <w:t>4. During the proceedings of Scrutiny of Returns for the Financial year ................. discrepancies found are communicated to petitioner in Form </w:t>
            </w:r>
            <w:r w:rsidRPr="00D76F88">
              <w:rPr>
                <w:b/>
                <w:bCs/>
              </w:rPr>
              <w:t>ASMT-10</w:t>
            </w:r>
            <w:r w:rsidRPr="00D76F88">
              <w:t> and petitioner were directed to furnish on Common Portal, Explanation in Form GST-</w:t>
            </w:r>
            <w:r w:rsidRPr="00D76F88">
              <w:rPr>
                <w:b/>
                <w:bCs/>
              </w:rPr>
              <w:t>ASMT -11</w:t>
            </w:r>
            <w:r w:rsidRPr="00D76F88">
              <w:t> with supporting information and documents online before due date for compliance.</w:t>
            </w:r>
          </w:p>
          <w:p w14:paraId="4E0538C6" w14:textId="77777777" w:rsidR="00D76F88" w:rsidRPr="00D76F88" w:rsidRDefault="00D76F88" w:rsidP="00D76F88">
            <w:r w:rsidRPr="00D76F88">
              <w:t>Summary of discrepancies along with tax &amp; applicable interest and penalty</w:t>
            </w:r>
          </w:p>
          <w:p w14:paraId="395FF586" w14:textId="77777777" w:rsidR="00D76F88" w:rsidRPr="00D76F88" w:rsidRDefault="00D76F88" w:rsidP="00D76F88">
            <w:r w:rsidRPr="00D76F88">
              <w:t>Table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4613"/>
              <w:gridCol w:w="1363"/>
              <w:gridCol w:w="1048"/>
              <w:gridCol w:w="1468"/>
              <w:gridCol w:w="1153"/>
            </w:tblGrid>
            <w:tr w:rsidR="00D76F88" w:rsidRPr="00D76F88" w14:paraId="06264A32" w14:textId="77777777">
              <w:tc>
                <w:tcPr>
                  <w:tcW w:w="4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15AD73E" w14:textId="77777777" w:rsidR="00D76F88" w:rsidRPr="00D76F88" w:rsidRDefault="00D76F88" w:rsidP="00D76F88">
                  <w:r w:rsidRPr="00D76F88">
                    <w:t>Sr. No.</w:t>
                  </w:r>
                </w:p>
              </w:tc>
              <w:tc>
                <w:tcPr>
                  <w:tcW w:w="22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003CE5" w14:textId="77777777" w:rsidR="00D76F88" w:rsidRPr="00D76F88" w:rsidRDefault="00D76F88" w:rsidP="00D76F88">
                  <w:r w:rsidRPr="00D76F88">
                    <w:t>Objection in brief</w:t>
                  </w:r>
                </w:p>
              </w:tc>
              <w:tc>
                <w:tcPr>
                  <w:tcW w:w="6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2CC8B9" w14:textId="77777777" w:rsidR="00D76F88" w:rsidRPr="00D76F88" w:rsidRDefault="00D76F88" w:rsidP="00D76F88">
                  <w:r w:rsidRPr="00D76F88">
                    <w:t> </w:t>
                  </w:r>
                </w:p>
              </w:tc>
              <w:tc>
                <w:tcPr>
                  <w:tcW w:w="5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21D4F80" w14:textId="77777777" w:rsidR="00D76F88" w:rsidRPr="00D76F88" w:rsidRDefault="00D76F88" w:rsidP="00D76F88">
                  <w:r w:rsidRPr="00D76F88">
                    <w:t>IGST</w:t>
                  </w:r>
                </w:p>
              </w:tc>
              <w:tc>
                <w:tcPr>
                  <w:tcW w:w="7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97FC9BA" w14:textId="77777777" w:rsidR="00D76F88" w:rsidRPr="00D76F88" w:rsidRDefault="00D76F88" w:rsidP="00D76F88">
                  <w:r w:rsidRPr="00D76F88">
                    <w:t>CGST</w:t>
                  </w:r>
                </w:p>
              </w:tc>
              <w:tc>
                <w:tcPr>
                  <w:tcW w:w="5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6AB172" w14:textId="77777777" w:rsidR="00D76F88" w:rsidRPr="00D76F88" w:rsidRDefault="00D76F88" w:rsidP="00D76F88">
                  <w:r w:rsidRPr="00D76F88">
                    <w:t>SGST</w:t>
                  </w:r>
                </w:p>
              </w:tc>
            </w:tr>
            <w:tr w:rsidR="00D76F88" w:rsidRPr="00D76F88" w14:paraId="28D53B54"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F9033C" w14:textId="77777777" w:rsidR="00D76F88" w:rsidRPr="00D76F88" w:rsidRDefault="00D76F88" w:rsidP="00D76F88">
                  <w:r w:rsidRPr="00D76F88">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CFDC893" w14:textId="5341D586" w:rsidR="00D76F88" w:rsidRPr="00D76F88" w:rsidRDefault="00D76F88" w:rsidP="00D76F88">
                  <w:r w:rsidRPr="00D76F88">
                    <w:t>Excess ITC claimed in </w:t>
                  </w:r>
                  <w:r w:rsidRPr="00D76F88">
                    <w:rPr>
                      <w:b/>
                      <w:bCs/>
                    </w:rPr>
                    <w:t>GSTR 3B</w:t>
                  </w:r>
                  <w:r w:rsidRPr="00D76F88">
                    <w:t> which is not confirmed in </w:t>
                  </w:r>
                  <w:r w:rsidRPr="00D76F88">
                    <w:rPr>
                      <w:b/>
                      <w:bCs/>
                    </w:rPr>
                    <w:t>GSTR 2A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F047695" w14:textId="7A3DAE14" w:rsidR="00D76F88" w:rsidRPr="00D76F88" w:rsidRDefault="00D76F88" w:rsidP="00D76F88">
                  <w:r w:rsidRPr="00D76F88">
                    <w:rPr>
                      <w:b/>
                      <w:bCs/>
                    </w:rPr>
                    <w:t>GSTR-3B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462166" w14:textId="77777777" w:rsidR="00D76F88" w:rsidRPr="00D76F88" w:rsidRDefault="00D76F88" w:rsidP="00D76F88">
                  <w:r w:rsidRPr="00D76F88">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27C15DB" w14:textId="77777777" w:rsidR="00D76F88" w:rsidRPr="00D76F88" w:rsidRDefault="00D76F88" w:rsidP="00D76F88">
                  <w:r w:rsidRPr="00D76F88">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D5F3731" w14:textId="77777777" w:rsidR="00D76F88" w:rsidRPr="00D76F88" w:rsidRDefault="00D76F88" w:rsidP="00D76F88">
                  <w:r w:rsidRPr="00D76F88">
                    <w:t>.............</w:t>
                  </w:r>
                </w:p>
              </w:tc>
            </w:tr>
            <w:tr w:rsidR="00D76F88" w:rsidRPr="00D76F88" w14:paraId="0A33D7CA"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751C7E8" w14:textId="77777777" w:rsidR="00D76F88" w:rsidRPr="00D76F88" w:rsidRDefault="00D76F88" w:rsidP="00D76F88">
                  <w:r w:rsidRPr="00D76F88">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76EC036" w14:textId="77777777" w:rsidR="00D76F88" w:rsidRPr="00D76F88" w:rsidRDefault="00D76F88" w:rsidP="00D76F88">
                  <w:r w:rsidRPr="00D76F88">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ED0A28C" w14:textId="4C3D5668" w:rsidR="00D76F88" w:rsidRPr="00D76F88" w:rsidRDefault="00D76F88" w:rsidP="00D76F88">
                  <w:r w:rsidRPr="00D76F88">
                    <w:rPr>
                      <w:b/>
                      <w:bCs/>
                    </w:rPr>
                    <w:t>GSTR-2A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4F8A0EA" w14:textId="77777777" w:rsidR="00D76F88" w:rsidRPr="00D76F88" w:rsidRDefault="00D76F88" w:rsidP="00D76F88">
                  <w:r w:rsidRPr="00D76F88">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141F27F" w14:textId="77777777" w:rsidR="00D76F88" w:rsidRPr="00D76F88" w:rsidRDefault="00D76F88" w:rsidP="00D76F88">
                  <w:r w:rsidRPr="00D76F88">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A00C288" w14:textId="77777777" w:rsidR="00D76F88" w:rsidRPr="00D76F88" w:rsidRDefault="00D76F88" w:rsidP="00D76F88">
                  <w:r w:rsidRPr="00D76F88">
                    <w:t>.........</w:t>
                  </w:r>
                </w:p>
              </w:tc>
            </w:tr>
            <w:tr w:rsidR="00D76F88" w:rsidRPr="00D76F88" w14:paraId="7B5B105F" w14:textId="7777777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1EA27F2" w14:textId="77777777" w:rsidR="00D76F88" w:rsidRPr="00D76F88" w:rsidRDefault="00D76F88" w:rsidP="00D76F88">
                  <w:r w:rsidRPr="00D76F88">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F0B0DF0" w14:textId="77777777" w:rsidR="00D76F88" w:rsidRPr="00D76F88" w:rsidRDefault="00D76F88" w:rsidP="00D76F88">
                  <w:r w:rsidRPr="00D76F88">
                    <w:t>Difference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6226B4F" w14:textId="77777777" w:rsidR="00D76F88" w:rsidRPr="00D76F88" w:rsidRDefault="00D76F88" w:rsidP="00D76F88">
                  <w:r w:rsidRPr="00D76F88">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17B8C3D" w14:textId="77777777" w:rsidR="00D76F88" w:rsidRPr="00D76F88" w:rsidRDefault="00D76F88" w:rsidP="00D76F88">
                  <w:r w:rsidRPr="00D76F88">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BFF87E" w14:textId="77777777" w:rsidR="00D76F88" w:rsidRPr="00D76F88" w:rsidRDefault="00D76F88" w:rsidP="00D76F88">
                  <w:r w:rsidRPr="00D76F88">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6EACEF09" w14:textId="77777777" w:rsidR="00D76F88" w:rsidRPr="00D76F88" w:rsidRDefault="00D76F88" w:rsidP="00D76F88">
                  <w:r w:rsidRPr="00D76F88">
                    <w:t>.........</w:t>
                  </w:r>
                </w:p>
              </w:tc>
            </w:tr>
          </w:tbl>
          <w:p w14:paraId="6F900020" w14:textId="7E596AFB" w:rsidR="00D76F88" w:rsidRPr="00D76F88" w:rsidRDefault="00D76F88" w:rsidP="00D76F88">
            <w:r w:rsidRPr="00D76F88">
              <w:t>As per opinion of department, the difference of ITC between </w:t>
            </w:r>
            <w:r w:rsidRPr="00D76F88">
              <w:rPr>
                <w:b/>
                <w:bCs/>
              </w:rPr>
              <w:t>GSTR-3B</w:t>
            </w:r>
            <w:r w:rsidRPr="00D76F88">
              <w:t> and </w:t>
            </w:r>
            <w:r w:rsidRPr="00D76F88">
              <w:rPr>
                <w:b/>
                <w:bCs/>
              </w:rPr>
              <w:t>GSTR-2A</w:t>
            </w:r>
            <w:r w:rsidRPr="00D76F88">
              <w:t> is the excess ITC availed by the taxpayer and the same is to be recovered from the taxpayer under </w:t>
            </w:r>
            <w:r w:rsidRPr="00D76F88">
              <w:rPr>
                <w:b/>
                <w:bCs/>
              </w:rPr>
              <w:t>Section 73</w:t>
            </w:r>
            <w:r w:rsidRPr="00D76F88">
              <w:t> of CGST Act, 2017.</w:t>
            </w:r>
          </w:p>
          <w:p w14:paraId="0261AFF5" w14:textId="77777777" w:rsidR="00D76F88" w:rsidRPr="00D76F88" w:rsidRDefault="00D76F88" w:rsidP="00D76F88">
            <w:r w:rsidRPr="00D76F88">
              <w:t>Grounds of appeal:-</w:t>
            </w:r>
          </w:p>
          <w:p w14:paraId="78A805DE" w14:textId="77777777" w:rsidR="00D76F88" w:rsidRPr="00D76F88" w:rsidRDefault="00D76F88" w:rsidP="00D76F88">
            <w:r w:rsidRPr="00D76F88">
              <w:t xml:space="preserve">1. We would like to submit that the above referred notice directing us to reverse the ITC is not in accordance with law as the ITC availed by us is not irregular. We have received the goods/ services and paid the supplier in full. </w:t>
            </w:r>
            <w:proofErr w:type="gramStart"/>
            <w:r w:rsidRPr="00D76F88">
              <w:t>hence</w:t>
            </w:r>
            <w:proofErr w:type="gramEnd"/>
            <w:r w:rsidRPr="00D76F88">
              <w:t xml:space="preserve"> we </w:t>
            </w:r>
            <w:proofErr w:type="spellStart"/>
            <w:r w:rsidRPr="00D76F88">
              <w:t>rae</w:t>
            </w:r>
            <w:proofErr w:type="spellEnd"/>
            <w:r w:rsidRPr="00D76F88">
              <w:t xml:space="preserve"> not required to reverse the same.</w:t>
            </w:r>
          </w:p>
          <w:p w14:paraId="60F61ADF" w14:textId="12479688" w:rsidR="00D76F88" w:rsidRPr="00D76F88" w:rsidRDefault="00D76F88" w:rsidP="00D76F88">
            <w:r w:rsidRPr="00D76F88">
              <w:t>2. As per </w:t>
            </w:r>
            <w:r w:rsidRPr="00D76F88">
              <w:rPr>
                <w:b/>
                <w:bCs/>
              </w:rPr>
              <w:t>Rule 36</w:t>
            </w:r>
            <w:r w:rsidRPr="00D76F88">
              <w:t>(4) of CGST Rules, No input tax credit shall be availed by a registered person in respect of invoices or debit notes the details of which are required to be furnished under sub-section (1) of </w:t>
            </w:r>
            <w:r w:rsidRPr="00D76F88">
              <w:rPr>
                <w:b/>
                <w:bCs/>
              </w:rPr>
              <w:t>Section 37</w:t>
            </w:r>
            <w:r w:rsidRPr="00D76F88">
              <w:t xml:space="preserve"> unless the details of such invoices or debit notes have been furnished by the supplier in the statement of </w:t>
            </w:r>
            <w:r w:rsidRPr="00D76F88">
              <w:lastRenderedPageBreak/>
              <w:t>outward supplies in FORM </w:t>
            </w:r>
            <w:r w:rsidRPr="00D76F88">
              <w:rPr>
                <w:b/>
                <w:bCs/>
              </w:rPr>
              <w:t>GSTR-1</w:t>
            </w:r>
            <w:r w:rsidRPr="00D76F88">
              <w:t> or using the invoice furnishing facility.</w:t>
            </w:r>
          </w:p>
          <w:p w14:paraId="5C71CC47" w14:textId="4AA80076" w:rsidR="00D76F88" w:rsidRPr="00D76F88" w:rsidRDefault="00D76F88" w:rsidP="00D76F88">
            <w:r w:rsidRPr="00D76F88">
              <w:t>3. However the above rule has been inserted through notification No.</w:t>
            </w:r>
            <w:r w:rsidRPr="00D76F88">
              <w:rPr>
                <w:b/>
                <w:bCs/>
              </w:rPr>
              <w:t>49/2019</w:t>
            </w:r>
            <w:r w:rsidRPr="00D76F88">
              <w:t>–Central Tax Dated: 9th October, 2019. Department cannot apply this for financial year 2017-18. Our matter is related to Financial year 2017-18, thus the above proceedings initiated is required to be set aside.</w:t>
            </w:r>
          </w:p>
          <w:p w14:paraId="14B6B5E2" w14:textId="35664702" w:rsidR="00D76F88" w:rsidRPr="00D76F88" w:rsidRDefault="00D76F88" w:rsidP="00D76F88">
            <w:r w:rsidRPr="00D76F88">
              <w:t>4. As per circular No.</w:t>
            </w:r>
            <w:r w:rsidRPr="00D76F88">
              <w:rPr>
                <w:b/>
                <w:bCs/>
              </w:rPr>
              <w:t>123/42/2019</w:t>
            </w:r>
            <w:r w:rsidRPr="00D76F88">
              <w:t>-GST Dated 11th November, 2019 The restriction of </w:t>
            </w:r>
            <w:r w:rsidRPr="00D76F88">
              <w:rPr>
                <w:b/>
                <w:bCs/>
              </w:rPr>
              <w:t>Rule 36</w:t>
            </w:r>
            <w:r w:rsidRPr="00D76F88">
              <w:t>(4) will be applicable only on the invoices /debit notes on which credit is availed after 09.10.2019.</w:t>
            </w:r>
          </w:p>
          <w:p w14:paraId="406C5CC5" w14:textId="77777777" w:rsidR="00D76F88" w:rsidRPr="00D76F88" w:rsidRDefault="00D76F88" w:rsidP="00D76F88">
            <w:r w:rsidRPr="00D76F88">
              <w:t xml:space="preserve">5. You can also refer judgment of Delhi high court in case of </w:t>
            </w:r>
            <w:proofErr w:type="spellStart"/>
            <w:r w:rsidRPr="00D76F88">
              <w:t>Bharti</w:t>
            </w:r>
            <w:proofErr w:type="spellEnd"/>
            <w:r w:rsidRPr="00D76F88">
              <w:t xml:space="preserve"> </w:t>
            </w:r>
            <w:proofErr w:type="spellStart"/>
            <w:r w:rsidRPr="00D76F88">
              <w:t>telemedia</w:t>
            </w:r>
            <w:proofErr w:type="spellEnd"/>
            <w:r w:rsidRPr="00D76F88">
              <w:t xml:space="preserve"> ltd </w:t>
            </w:r>
            <w:proofErr w:type="spellStart"/>
            <w:r w:rsidRPr="00D76F88">
              <w:t>vs</w:t>
            </w:r>
            <w:proofErr w:type="spellEnd"/>
            <w:r w:rsidRPr="00D76F88">
              <w:t xml:space="preserve"> Union of India dated 29.05.2019.</w:t>
            </w:r>
          </w:p>
          <w:p w14:paraId="182FB7DA" w14:textId="09305DBD" w:rsidR="00D76F88" w:rsidRPr="00D76F88" w:rsidRDefault="00D76F88" w:rsidP="00D76F88">
            <w:r w:rsidRPr="00D76F88">
              <w:t>6. With respect to manner specified in </w:t>
            </w:r>
            <w:r w:rsidRPr="00D76F88">
              <w:rPr>
                <w:b/>
                <w:bCs/>
              </w:rPr>
              <w:t>Section 49</w:t>
            </w:r>
            <w:r w:rsidRPr="00D76F88">
              <w:t>, we submit that we have self-assessed the input tax credit in the return in accordance with </w:t>
            </w:r>
            <w:r w:rsidRPr="00D76F88">
              <w:rPr>
                <w:b/>
                <w:bCs/>
              </w:rPr>
              <w:t>Section 41</w:t>
            </w:r>
            <w:r w:rsidRPr="00D76F88">
              <w:t>. </w:t>
            </w:r>
            <w:r w:rsidRPr="00D76F88">
              <w:rPr>
                <w:b/>
                <w:bCs/>
              </w:rPr>
              <w:t>Section 41</w:t>
            </w:r>
            <w:r w:rsidRPr="00D76F88">
              <w:t> reads as follows—</w:t>
            </w:r>
          </w:p>
          <w:p w14:paraId="79ACE834" w14:textId="77777777" w:rsidR="00D76F88" w:rsidRPr="00D76F88" w:rsidRDefault="00D76F88" w:rsidP="00D76F88">
            <w:r w:rsidRPr="00D76F88">
              <w:t>41 (1) Every registered person shall, subject to such conditions and restrictions as may be prescribed, be entitled to take the credit of eligible input tax, as self-assessed, in his return and such amount shall be credited on a provisional basis to his electronic credit ledger.</w:t>
            </w:r>
          </w:p>
          <w:p w14:paraId="79551410" w14:textId="5A03CDFB" w:rsidR="00D76F88" w:rsidRPr="00D76F88" w:rsidRDefault="00D76F88" w:rsidP="00D76F88">
            <w:r w:rsidRPr="00D76F88">
              <w:t xml:space="preserve">There is no dispute regarding </w:t>
            </w:r>
            <w:proofErr w:type="spellStart"/>
            <w:r w:rsidRPr="00D76F88">
              <w:t>availment</w:t>
            </w:r>
            <w:proofErr w:type="spellEnd"/>
            <w:r w:rsidRPr="00D76F88">
              <w:t xml:space="preserve"> of input tax credit in the monthly </w:t>
            </w:r>
            <w:r w:rsidRPr="00D76F88">
              <w:rPr>
                <w:b/>
                <w:bCs/>
              </w:rPr>
              <w:t>GSTR-3B</w:t>
            </w:r>
            <w:r w:rsidRPr="00D76F88">
              <w:t> return. Hence, this condition is satisfied.</w:t>
            </w:r>
          </w:p>
          <w:p w14:paraId="4FEFAFB5" w14:textId="77777777" w:rsidR="00D76F88" w:rsidRPr="00D76F88" w:rsidRDefault="00D76F88" w:rsidP="00D76F88">
            <w:r w:rsidRPr="00D76F88">
              <w:t>Prayer</w:t>
            </w:r>
            <w:proofErr w:type="gramStart"/>
            <w:r w:rsidRPr="00D76F88">
              <w:t>:-</w:t>
            </w:r>
            <w:proofErr w:type="gramEnd"/>
            <w:r w:rsidRPr="00D76F88">
              <w:t xml:space="preserve"> In view of the above, it is respectfully prayed that the Hon`ble ............................. may </w:t>
            </w:r>
            <w:proofErr w:type="spellStart"/>
            <w:r w:rsidRPr="00D76F88">
              <w:t>pleased</w:t>
            </w:r>
            <w:proofErr w:type="spellEnd"/>
            <w:r w:rsidRPr="00D76F88">
              <w:t xml:space="preserve"> to—</w:t>
            </w:r>
          </w:p>
          <w:p w14:paraId="3934A35F" w14:textId="77777777" w:rsidR="00D76F88" w:rsidRPr="00D76F88" w:rsidRDefault="00D76F88" w:rsidP="00D76F88">
            <w:r w:rsidRPr="00D76F88">
              <w:t xml:space="preserve">(a) Set aside the </w:t>
            </w:r>
            <w:proofErr w:type="spellStart"/>
            <w:r w:rsidRPr="00D76F88">
              <w:t>impungned</w:t>
            </w:r>
            <w:proofErr w:type="spellEnd"/>
            <w:r w:rsidRPr="00D76F88">
              <w:t xml:space="preserve"> demand order no. ................. dated .................. passed by the learned Joint commissioner, State tax.</w:t>
            </w:r>
          </w:p>
          <w:p w14:paraId="336C4D94" w14:textId="26ECEFA6" w:rsidR="00D76F88" w:rsidRPr="00D76F88" w:rsidRDefault="00D76F88" w:rsidP="00D76F88">
            <w:r w:rsidRPr="00D76F88">
              <w:t xml:space="preserve">(b) we </w:t>
            </w:r>
            <w:proofErr w:type="spellStart"/>
            <w:r w:rsidRPr="00D76F88">
              <w:t>pary</w:t>
            </w:r>
            <w:proofErr w:type="spellEnd"/>
            <w:r w:rsidRPr="00D76F88">
              <w:t xml:space="preserve"> that no recovery shall be made from the taxpayer under </w:t>
            </w:r>
            <w:r w:rsidRPr="00D76F88">
              <w:rPr>
                <w:b/>
                <w:bCs/>
              </w:rPr>
              <w:t>Section 73</w:t>
            </w:r>
            <w:r w:rsidRPr="00D76F88">
              <w:t xml:space="preserve"> of CGST Act, 2017 as ITC claimed by the </w:t>
            </w:r>
            <w:proofErr w:type="spellStart"/>
            <w:r w:rsidRPr="00D76F88">
              <w:t>assessee</w:t>
            </w:r>
            <w:proofErr w:type="spellEnd"/>
            <w:r w:rsidRPr="00D76F88">
              <w:t xml:space="preserve"> is in accordance with law.</w:t>
            </w:r>
          </w:p>
          <w:p w14:paraId="5CE8E6FA" w14:textId="558F7045" w:rsidR="00D76F88" w:rsidRPr="00D76F88" w:rsidRDefault="00D76F88" w:rsidP="006B22E9">
            <w:r w:rsidRPr="00D76F88">
              <w:t xml:space="preserve">(c) We </w:t>
            </w:r>
            <w:bookmarkStart w:id="0" w:name="_GoBack"/>
            <w:bookmarkEnd w:id="0"/>
            <w:r w:rsidRPr="00D76F88">
              <w:t>request your good self to drop further proceedings in this regard.</w:t>
            </w:r>
          </w:p>
        </w:tc>
      </w:tr>
    </w:tbl>
    <w:p w14:paraId="4531A2C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88"/>
    <w:rsid w:val="00031CAE"/>
    <w:rsid w:val="00447B58"/>
    <w:rsid w:val="005237F3"/>
    <w:rsid w:val="006B22E9"/>
    <w:rsid w:val="00D76F88"/>
    <w:rsid w:val="00E949B8"/>
    <w:rsid w:val="00F0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88"/>
    <w:rPr>
      <w:rFonts w:eastAsiaTheme="majorEastAsia" w:cstheme="majorBidi"/>
      <w:color w:val="272727" w:themeColor="text1" w:themeTint="D8"/>
    </w:rPr>
  </w:style>
  <w:style w:type="paragraph" w:styleId="Title">
    <w:name w:val="Title"/>
    <w:basedOn w:val="Normal"/>
    <w:next w:val="Normal"/>
    <w:link w:val="TitleChar"/>
    <w:uiPriority w:val="10"/>
    <w:qFormat/>
    <w:rsid w:val="00D7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88"/>
    <w:pPr>
      <w:spacing w:before="160"/>
      <w:jc w:val="center"/>
    </w:pPr>
    <w:rPr>
      <w:i/>
      <w:iCs/>
      <w:color w:val="404040" w:themeColor="text1" w:themeTint="BF"/>
    </w:rPr>
  </w:style>
  <w:style w:type="character" w:customStyle="1" w:styleId="QuoteChar">
    <w:name w:val="Quote Char"/>
    <w:basedOn w:val="DefaultParagraphFont"/>
    <w:link w:val="Quote"/>
    <w:uiPriority w:val="29"/>
    <w:rsid w:val="00D76F88"/>
    <w:rPr>
      <w:i/>
      <w:iCs/>
      <w:color w:val="404040" w:themeColor="text1" w:themeTint="BF"/>
    </w:rPr>
  </w:style>
  <w:style w:type="paragraph" w:styleId="ListParagraph">
    <w:name w:val="List Paragraph"/>
    <w:basedOn w:val="Normal"/>
    <w:uiPriority w:val="34"/>
    <w:qFormat/>
    <w:rsid w:val="00D76F88"/>
    <w:pPr>
      <w:ind w:left="720"/>
      <w:contextualSpacing/>
    </w:pPr>
  </w:style>
  <w:style w:type="character" w:styleId="IntenseEmphasis">
    <w:name w:val="Intense Emphasis"/>
    <w:basedOn w:val="DefaultParagraphFont"/>
    <w:uiPriority w:val="21"/>
    <w:qFormat/>
    <w:rsid w:val="00D76F88"/>
    <w:rPr>
      <w:i/>
      <w:iCs/>
      <w:color w:val="2F5496" w:themeColor="accent1" w:themeShade="BF"/>
    </w:rPr>
  </w:style>
  <w:style w:type="paragraph" w:styleId="IntenseQuote">
    <w:name w:val="Intense Quote"/>
    <w:basedOn w:val="Normal"/>
    <w:next w:val="Normal"/>
    <w:link w:val="IntenseQuoteChar"/>
    <w:uiPriority w:val="30"/>
    <w:qFormat/>
    <w:rsid w:val="00D7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F88"/>
    <w:rPr>
      <w:i/>
      <w:iCs/>
      <w:color w:val="2F5496" w:themeColor="accent1" w:themeShade="BF"/>
    </w:rPr>
  </w:style>
  <w:style w:type="character" w:styleId="IntenseReference">
    <w:name w:val="Intense Reference"/>
    <w:basedOn w:val="DefaultParagraphFont"/>
    <w:uiPriority w:val="32"/>
    <w:qFormat/>
    <w:rsid w:val="00D76F88"/>
    <w:rPr>
      <w:b/>
      <w:bCs/>
      <w:smallCaps/>
      <w:color w:val="2F5496" w:themeColor="accent1" w:themeShade="BF"/>
      <w:spacing w:val="5"/>
    </w:rPr>
  </w:style>
  <w:style w:type="character" w:styleId="Hyperlink">
    <w:name w:val="Hyperlink"/>
    <w:basedOn w:val="DefaultParagraphFont"/>
    <w:uiPriority w:val="99"/>
    <w:unhideWhenUsed/>
    <w:rsid w:val="00D76F88"/>
    <w:rPr>
      <w:color w:val="0563C1" w:themeColor="hyperlink"/>
      <w:u w:val="single"/>
    </w:rPr>
  </w:style>
  <w:style w:type="character" w:customStyle="1" w:styleId="UnresolvedMention">
    <w:name w:val="Unresolved Mention"/>
    <w:basedOn w:val="DefaultParagraphFont"/>
    <w:uiPriority w:val="99"/>
    <w:semiHidden/>
    <w:unhideWhenUsed/>
    <w:rsid w:val="00D76F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6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6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6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6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6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6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6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88"/>
    <w:rPr>
      <w:rFonts w:eastAsiaTheme="majorEastAsia" w:cstheme="majorBidi"/>
      <w:color w:val="272727" w:themeColor="text1" w:themeTint="D8"/>
    </w:rPr>
  </w:style>
  <w:style w:type="paragraph" w:styleId="Title">
    <w:name w:val="Title"/>
    <w:basedOn w:val="Normal"/>
    <w:next w:val="Normal"/>
    <w:link w:val="TitleChar"/>
    <w:uiPriority w:val="10"/>
    <w:qFormat/>
    <w:rsid w:val="00D7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88"/>
    <w:pPr>
      <w:spacing w:before="160"/>
      <w:jc w:val="center"/>
    </w:pPr>
    <w:rPr>
      <w:i/>
      <w:iCs/>
      <w:color w:val="404040" w:themeColor="text1" w:themeTint="BF"/>
    </w:rPr>
  </w:style>
  <w:style w:type="character" w:customStyle="1" w:styleId="QuoteChar">
    <w:name w:val="Quote Char"/>
    <w:basedOn w:val="DefaultParagraphFont"/>
    <w:link w:val="Quote"/>
    <w:uiPriority w:val="29"/>
    <w:rsid w:val="00D76F88"/>
    <w:rPr>
      <w:i/>
      <w:iCs/>
      <w:color w:val="404040" w:themeColor="text1" w:themeTint="BF"/>
    </w:rPr>
  </w:style>
  <w:style w:type="paragraph" w:styleId="ListParagraph">
    <w:name w:val="List Paragraph"/>
    <w:basedOn w:val="Normal"/>
    <w:uiPriority w:val="34"/>
    <w:qFormat/>
    <w:rsid w:val="00D76F88"/>
    <w:pPr>
      <w:ind w:left="720"/>
      <w:contextualSpacing/>
    </w:pPr>
  </w:style>
  <w:style w:type="character" w:styleId="IntenseEmphasis">
    <w:name w:val="Intense Emphasis"/>
    <w:basedOn w:val="DefaultParagraphFont"/>
    <w:uiPriority w:val="21"/>
    <w:qFormat/>
    <w:rsid w:val="00D76F88"/>
    <w:rPr>
      <w:i/>
      <w:iCs/>
      <w:color w:val="2F5496" w:themeColor="accent1" w:themeShade="BF"/>
    </w:rPr>
  </w:style>
  <w:style w:type="paragraph" w:styleId="IntenseQuote">
    <w:name w:val="Intense Quote"/>
    <w:basedOn w:val="Normal"/>
    <w:next w:val="Normal"/>
    <w:link w:val="IntenseQuoteChar"/>
    <w:uiPriority w:val="30"/>
    <w:qFormat/>
    <w:rsid w:val="00D7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6F88"/>
    <w:rPr>
      <w:i/>
      <w:iCs/>
      <w:color w:val="2F5496" w:themeColor="accent1" w:themeShade="BF"/>
    </w:rPr>
  </w:style>
  <w:style w:type="character" w:styleId="IntenseReference">
    <w:name w:val="Intense Reference"/>
    <w:basedOn w:val="DefaultParagraphFont"/>
    <w:uiPriority w:val="32"/>
    <w:qFormat/>
    <w:rsid w:val="00D76F88"/>
    <w:rPr>
      <w:b/>
      <w:bCs/>
      <w:smallCaps/>
      <w:color w:val="2F5496" w:themeColor="accent1" w:themeShade="BF"/>
      <w:spacing w:val="5"/>
    </w:rPr>
  </w:style>
  <w:style w:type="character" w:styleId="Hyperlink">
    <w:name w:val="Hyperlink"/>
    <w:basedOn w:val="DefaultParagraphFont"/>
    <w:uiPriority w:val="99"/>
    <w:unhideWhenUsed/>
    <w:rsid w:val="00D76F88"/>
    <w:rPr>
      <w:color w:val="0563C1" w:themeColor="hyperlink"/>
      <w:u w:val="single"/>
    </w:rPr>
  </w:style>
  <w:style w:type="character" w:customStyle="1" w:styleId="UnresolvedMention">
    <w:name w:val="Unresolved Mention"/>
    <w:basedOn w:val="DefaultParagraphFont"/>
    <w:uiPriority w:val="99"/>
    <w:semiHidden/>
    <w:unhideWhenUsed/>
    <w:rsid w:val="00D76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2</cp:revision>
  <dcterms:created xsi:type="dcterms:W3CDTF">2025-10-30T06:13:00Z</dcterms:created>
  <dcterms:modified xsi:type="dcterms:W3CDTF">2025-11-17T04:13:00Z</dcterms:modified>
</cp:coreProperties>
</file>