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F6B7" w14:textId="77777777" w:rsidR="00E546E9" w:rsidRPr="00E546E9" w:rsidRDefault="00E546E9" w:rsidP="00E546E9">
      <w:r w:rsidRPr="00E546E9">
        <w:rPr>
          <w:b/>
          <w:bCs/>
        </w:rPr>
        <w:t>To</w:t>
      </w:r>
    </w:p>
    <w:p w14:paraId="4ECE8D8A" w14:textId="77777777" w:rsidR="00E546E9" w:rsidRPr="00E546E9" w:rsidRDefault="00E546E9" w:rsidP="00E546E9">
      <w:r w:rsidRPr="00E546E9">
        <w:t>The Assistant Commissioner / Proper Officer</w:t>
      </w:r>
    </w:p>
    <w:p w14:paraId="6518D6C6" w14:textId="77777777" w:rsidR="00E546E9" w:rsidRPr="00E546E9" w:rsidRDefault="00E546E9" w:rsidP="00E546E9">
      <w:r w:rsidRPr="00E546E9">
        <w:rPr>
          <w:b/>
          <w:bCs/>
        </w:rPr>
        <w:t>[Department Name/Address]</w:t>
      </w:r>
    </w:p>
    <w:p w14:paraId="04F45C80" w14:textId="77777777" w:rsidR="00E546E9" w:rsidRPr="00E546E9" w:rsidRDefault="00E546E9" w:rsidP="00E546E9">
      <w:r w:rsidRPr="00E546E9">
        <w:rPr>
          <w:b/>
          <w:bCs/>
        </w:rPr>
        <w:t>Subject:</w:t>
      </w:r>
      <w:r w:rsidRPr="00E546E9">
        <w:t> Reply Regarding ITC Disallowance for FY 2018-19 Due to Supplier’s Registration Cancellation</w:t>
      </w:r>
    </w:p>
    <w:p w14:paraId="2D8D4390" w14:textId="77777777" w:rsidR="00E546E9" w:rsidRPr="00E546E9" w:rsidRDefault="00E546E9" w:rsidP="00E546E9">
      <w:r w:rsidRPr="00E546E9">
        <w:rPr>
          <w:b/>
          <w:bCs/>
        </w:rPr>
        <w:t>Reference:</w:t>
      </w:r>
      <w:r w:rsidRPr="00E546E9">
        <w:t> Notice/Order No. </w:t>
      </w:r>
      <w:r w:rsidRPr="00E546E9">
        <w:rPr>
          <w:b/>
          <w:bCs/>
        </w:rPr>
        <w:t>[-------------------]</w:t>
      </w:r>
      <w:r w:rsidRPr="00E546E9">
        <w:t>, Dated </w:t>
      </w:r>
      <w:r w:rsidRPr="00E546E9">
        <w:rPr>
          <w:b/>
          <w:bCs/>
        </w:rPr>
        <w:t>------------------</w:t>
      </w:r>
    </w:p>
    <w:p w14:paraId="1F65B379" w14:textId="77777777" w:rsidR="00E546E9" w:rsidRPr="00E546E9" w:rsidRDefault="00E546E9" w:rsidP="00E546E9">
      <w:r w:rsidRPr="00E546E9">
        <w:rPr>
          <w:b/>
          <w:bCs/>
        </w:rPr>
        <w:t>Respected Sir,</w:t>
      </w:r>
    </w:p>
    <w:p w14:paraId="1BA2D95D" w14:textId="77777777" w:rsidR="00E546E9" w:rsidRPr="00E546E9" w:rsidRDefault="00E546E9" w:rsidP="00E546E9">
      <w:r w:rsidRPr="00E546E9">
        <w:t xml:space="preserve">This is in reference to the disallowance of Input Tax Credit (ITC) amounting to </w:t>
      </w:r>
      <w:proofErr w:type="gramStart"/>
      <w:r w:rsidRPr="00E546E9">
        <w:t>Rs.[</w:t>
      </w:r>
      <w:proofErr w:type="gramEnd"/>
      <w:r w:rsidRPr="00E546E9">
        <w:t>Amount] for the Financial Year 2018-19 on the grounds that the supplier’s GST Registration Certificate (RC) was canceled by the Department.</w:t>
      </w:r>
    </w:p>
    <w:p w14:paraId="5179854C" w14:textId="77777777" w:rsidR="00E546E9" w:rsidRPr="00E546E9" w:rsidRDefault="00E546E9" w:rsidP="00E546E9">
      <w:r w:rsidRPr="00E546E9">
        <w:t>In this regard, I would like to submit the following for your kind consideration:</w:t>
      </w:r>
    </w:p>
    <w:p w14:paraId="3DFB9D82" w14:textId="77777777" w:rsidR="00E546E9" w:rsidRPr="00E546E9" w:rsidRDefault="00E546E9" w:rsidP="00E546E9">
      <w:r w:rsidRPr="00E546E9">
        <w:rPr>
          <w:b/>
          <w:bCs/>
        </w:rPr>
        <w:t>1. Good Faith in Availing ITC</w:t>
      </w:r>
    </w:p>
    <w:p w14:paraId="78D66974" w14:textId="77777777" w:rsidR="00E546E9" w:rsidRPr="00E546E9" w:rsidRDefault="00E546E9" w:rsidP="00E546E9">
      <w:r w:rsidRPr="00E546E9">
        <w:t>The ITC was availed based on genuine transactions supported by valid tax invoices issued by the supplier at the time of the transaction. At that point, the supplier’s GST registration was active, as confirmed through the GST portal.</w:t>
      </w:r>
    </w:p>
    <w:p w14:paraId="54987030" w14:textId="160612F2" w:rsidR="00E546E9" w:rsidRPr="00E546E9" w:rsidRDefault="00E546E9" w:rsidP="00E546E9">
      <w:r w:rsidRPr="00E546E9">
        <w:rPr>
          <w:b/>
          <w:bCs/>
        </w:rPr>
        <w:t>2. Compliance with Section 16(2)</w:t>
      </w:r>
    </w:p>
    <w:p w14:paraId="7714D4C0" w14:textId="1A55266A" w:rsidR="00E546E9" w:rsidRPr="00E546E9" w:rsidRDefault="00E546E9" w:rsidP="00E546E9">
      <w:r w:rsidRPr="00E546E9">
        <w:t>I have complied with all the conditions for availing ITC under </w:t>
      </w:r>
      <w:r w:rsidRPr="00E546E9">
        <w:rPr>
          <w:b/>
          <w:bCs/>
        </w:rPr>
        <w:t>Section 16</w:t>
      </w:r>
      <w:r w:rsidRPr="00E546E9">
        <w:t>(2) of the CGST Act, 2017, including:</w:t>
      </w:r>
    </w:p>
    <w:p w14:paraId="7532B87E" w14:textId="77777777" w:rsidR="00E546E9" w:rsidRPr="00E546E9" w:rsidRDefault="00E546E9" w:rsidP="00E546E9">
      <w:pPr>
        <w:numPr>
          <w:ilvl w:val="0"/>
          <w:numId w:val="1"/>
        </w:numPr>
      </w:pPr>
      <w:r w:rsidRPr="00E546E9">
        <w:t>Possession of a valid tax invoice.</w:t>
      </w:r>
    </w:p>
    <w:p w14:paraId="35DCA599" w14:textId="77777777" w:rsidR="00E546E9" w:rsidRPr="00E546E9" w:rsidRDefault="00E546E9" w:rsidP="00E546E9">
      <w:pPr>
        <w:numPr>
          <w:ilvl w:val="0"/>
          <w:numId w:val="1"/>
        </w:numPr>
      </w:pPr>
      <w:r w:rsidRPr="00E546E9">
        <w:t>Payment of tax to the supplier as evidenced by bank statements.</w:t>
      </w:r>
    </w:p>
    <w:p w14:paraId="6CC9A0BE" w14:textId="77777777" w:rsidR="00E546E9" w:rsidRPr="00E546E9" w:rsidRDefault="00E546E9" w:rsidP="00E546E9">
      <w:pPr>
        <w:numPr>
          <w:ilvl w:val="0"/>
          <w:numId w:val="1"/>
        </w:numPr>
      </w:pPr>
      <w:r w:rsidRPr="00E546E9">
        <w:t>Filing of GST returns reflecting the transaction.</w:t>
      </w:r>
    </w:p>
    <w:p w14:paraId="0E2881C7" w14:textId="77777777" w:rsidR="00E546E9" w:rsidRPr="00E546E9" w:rsidRDefault="00E546E9" w:rsidP="00E546E9">
      <w:r w:rsidRPr="00E546E9">
        <w:rPr>
          <w:b/>
          <w:bCs/>
        </w:rPr>
        <w:t>3. Supplier’s Non-Compliance Beyond My Control</w:t>
      </w:r>
    </w:p>
    <w:p w14:paraId="4307605F" w14:textId="77777777" w:rsidR="00E546E9" w:rsidRPr="00E546E9" w:rsidRDefault="00E546E9" w:rsidP="00E546E9">
      <w:r w:rsidRPr="00E546E9">
        <w:t>The cancellation of the supplier’s GST registration occurred subsequent to the transaction and was beyond my knowledge and control. As a buyer, I am neither empowered nor in a position to monitor or enforce the compliance of suppliers with GST regulations.</w:t>
      </w:r>
    </w:p>
    <w:p w14:paraId="0D08F561" w14:textId="77777777" w:rsidR="00E546E9" w:rsidRPr="00E546E9" w:rsidRDefault="00E546E9" w:rsidP="00E546E9">
      <w:r w:rsidRPr="00E546E9">
        <w:rPr>
          <w:b/>
          <w:bCs/>
        </w:rPr>
        <w:t>4. No Mechanism to Detect Future Non-Compliance</w:t>
      </w:r>
    </w:p>
    <w:p w14:paraId="2BBA4E0D" w14:textId="77777777" w:rsidR="00E546E9" w:rsidRPr="00E546E9" w:rsidRDefault="00E546E9" w:rsidP="00E546E9">
      <w:r w:rsidRPr="00E546E9">
        <w:t>The GST law does not provide a mechanism for the recipient to ascertain or predict whether the supplier will comply with the payment of taxes to the Government or maintain their registration status.</w:t>
      </w:r>
    </w:p>
    <w:p w14:paraId="25510AF6" w14:textId="77777777" w:rsidR="00E546E9" w:rsidRPr="00E546E9" w:rsidRDefault="00E546E9" w:rsidP="00E546E9">
      <w:r w:rsidRPr="00E546E9">
        <w:rPr>
          <w:b/>
          <w:bCs/>
        </w:rPr>
        <w:lastRenderedPageBreak/>
        <w:t>5. Judicial Precedents in Favor of Recipients</w:t>
      </w:r>
    </w:p>
    <w:p w14:paraId="311E48B9" w14:textId="77777777" w:rsidR="00E546E9" w:rsidRPr="00E546E9" w:rsidRDefault="00E546E9" w:rsidP="00E546E9">
      <w:r w:rsidRPr="00E546E9">
        <w:t>Courts have repeatedly held that bona fide recipients should not be penalized for the lapses of suppliers. For example:</w:t>
      </w:r>
    </w:p>
    <w:p w14:paraId="71D8B460" w14:textId="77EAC4FA" w:rsidR="00E546E9" w:rsidRPr="00E546E9" w:rsidRDefault="00E546E9" w:rsidP="00E546E9">
      <w:pPr>
        <w:numPr>
          <w:ilvl w:val="0"/>
          <w:numId w:val="2"/>
        </w:numPr>
      </w:pPr>
      <w:r w:rsidRPr="00E546E9">
        <w:rPr>
          <w:b/>
          <w:bCs/>
        </w:rPr>
        <w:t xml:space="preserve">Calcutta High Court in M/s. Sanchita Kundu v. State Tax </w:t>
      </w:r>
      <w:proofErr w:type="gramStart"/>
      <w:r w:rsidRPr="00E546E9">
        <w:rPr>
          <w:b/>
          <w:bCs/>
        </w:rPr>
        <w:t>Officer  (</w:t>
      </w:r>
      <w:proofErr w:type="gramEnd"/>
      <w:r w:rsidRPr="00E546E9">
        <w:rPr>
          <w:b/>
          <w:bCs/>
        </w:rPr>
        <w:t>Calcutta) </w:t>
      </w:r>
      <w:r w:rsidRPr="00E546E9">
        <w:t>Held that </w:t>
      </w:r>
      <w:proofErr w:type="gramStart"/>
      <w:r w:rsidRPr="00E546E9">
        <w:rPr>
          <w:b/>
          <w:bCs/>
          <w:i/>
          <w:iCs/>
        </w:rPr>
        <w:t>The</w:t>
      </w:r>
      <w:proofErr w:type="gramEnd"/>
      <w:r w:rsidRPr="00E546E9">
        <w:rPr>
          <w:b/>
          <w:bCs/>
          <w:i/>
          <w:iCs/>
        </w:rPr>
        <w:t xml:space="preserve"> petitioners are aggrieved by the action of the respondent GST concerned denying the benefit of ITC on purchase of the goods on the ground that the registration of the suppliers in question has already been cancelled. These writ petitions are disposed of by setting aside the aforesaid impugned orders and remanding these cases of the petitioners to the </w:t>
      </w:r>
      <w:proofErr w:type="gramStart"/>
      <w:r w:rsidRPr="00E546E9">
        <w:rPr>
          <w:b/>
          <w:bCs/>
          <w:i/>
          <w:iCs/>
        </w:rPr>
        <w:t>respondents</w:t>
      </w:r>
      <w:proofErr w:type="gramEnd"/>
      <w:r w:rsidRPr="00E546E9">
        <w:rPr>
          <w:b/>
          <w:bCs/>
          <w:i/>
          <w:iCs/>
        </w:rPr>
        <w:t xml:space="preserve"> officer concerned to consider afresh on the issue of their entitlement of benefit of input tax credit.</w:t>
      </w:r>
    </w:p>
    <w:p w14:paraId="218CB88B" w14:textId="04939440" w:rsidR="00E546E9" w:rsidRPr="00E546E9" w:rsidRDefault="00E546E9" w:rsidP="00E546E9">
      <w:pPr>
        <w:numPr>
          <w:ilvl w:val="0"/>
          <w:numId w:val="2"/>
        </w:numPr>
      </w:pPr>
      <w:r w:rsidRPr="00E546E9">
        <w:rPr>
          <w:b/>
          <w:bCs/>
        </w:rPr>
        <w:t>Calcutta High Court in M/</w:t>
      </w:r>
      <w:proofErr w:type="spellStart"/>
      <w:r w:rsidRPr="00E546E9">
        <w:rPr>
          <w:b/>
          <w:bCs/>
        </w:rPr>
        <w:t>s.LGW</w:t>
      </w:r>
      <w:proofErr w:type="spellEnd"/>
      <w:r w:rsidRPr="00E546E9">
        <w:rPr>
          <w:b/>
          <w:bCs/>
        </w:rPr>
        <w:t xml:space="preserve"> Industries Limited &amp; Ors.</w:t>
      </w:r>
      <w:r w:rsidRPr="00E546E9">
        <w:t> </w:t>
      </w:r>
      <w:r w:rsidRPr="00E546E9">
        <w:rPr>
          <w:b/>
          <w:bCs/>
        </w:rPr>
        <w:t>[2021] (Calcutta) held that </w:t>
      </w:r>
      <w:r w:rsidRPr="00E546E9">
        <w:rPr>
          <w:b/>
          <w:bCs/>
          <w:i/>
          <w:iCs/>
        </w:rPr>
        <w:t>If it is found upon considering the relevant documents that all the purchases and transactions in question are genuine and supported by valid documents and transactions in question were made before the cancellation of registration of those suppliers and after taking into consideration the judgments of the Supreme Court and various High Courts which have been referred in this order and in that event the petitioners shall be given the benefit of input tax credit in question.</w:t>
      </w:r>
    </w:p>
    <w:p w14:paraId="2E90751A" w14:textId="77777777" w:rsidR="00E546E9" w:rsidRPr="00E546E9" w:rsidRDefault="00E546E9" w:rsidP="00E546E9">
      <w:r w:rsidRPr="00E546E9">
        <w:rPr>
          <w:b/>
          <w:bCs/>
        </w:rPr>
        <w:t>6. Principles of Natural Justice</w:t>
      </w:r>
    </w:p>
    <w:p w14:paraId="76E940A8" w14:textId="77777777" w:rsidR="00E546E9" w:rsidRPr="00E546E9" w:rsidRDefault="00E546E9" w:rsidP="00E546E9">
      <w:r w:rsidRPr="00E546E9">
        <w:t>Disallowing ITC in such cases would contravene the principles of natural justice and the intent of GST law to promote seamless credit and ease of doing business.</w:t>
      </w:r>
    </w:p>
    <w:p w14:paraId="6D62618B" w14:textId="77777777" w:rsidR="00E546E9" w:rsidRPr="00E546E9" w:rsidRDefault="00E546E9" w:rsidP="00E546E9">
      <w:r w:rsidRPr="00E546E9">
        <w:rPr>
          <w:b/>
          <w:bCs/>
        </w:rPr>
        <w:t>7. Prayer</w:t>
      </w:r>
    </w:p>
    <w:p w14:paraId="7244FCB7" w14:textId="77777777" w:rsidR="00E546E9" w:rsidRPr="00E546E9" w:rsidRDefault="00E546E9" w:rsidP="00E546E9">
      <w:r w:rsidRPr="00E546E9">
        <w:t>In light of the above, I respectfully request you to:</w:t>
      </w:r>
    </w:p>
    <w:p w14:paraId="5B9FF5FC" w14:textId="77777777" w:rsidR="00E546E9" w:rsidRPr="00E546E9" w:rsidRDefault="00E546E9" w:rsidP="00E546E9">
      <w:pPr>
        <w:numPr>
          <w:ilvl w:val="0"/>
          <w:numId w:val="3"/>
        </w:numPr>
      </w:pPr>
      <w:r w:rsidRPr="00E546E9">
        <w:t>Allow the disputed ITC for FY 2018-19, considering my bona fide compliance with GST provisions.</w:t>
      </w:r>
    </w:p>
    <w:p w14:paraId="22ACA7FB" w14:textId="0E8807EE" w:rsidR="00E546E9" w:rsidRPr="00E546E9" w:rsidRDefault="00E546E9" w:rsidP="00E546E9">
      <w:pPr>
        <w:numPr>
          <w:ilvl w:val="0"/>
          <w:numId w:val="3"/>
        </w:numPr>
      </w:pPr>
      <w:r w:rsidRPr="00E546E9">
        <w:t>Initiate necessary action against the defaulting supplier as per </w:t>
      </w:r>
      <w:r w:rsidRPr="00E546E9">
        <w:rPr>
          <w:b/>
          <w:bCs/>
        </w:rPr>
        <w:t>Section 122</w:t>
      </w:r>
      <w:r w:rsidRPr="00E546E9">
        <w:t> and other provisions of the CGST Act, 2017.</w:t>
      </w:r>
    </w:p>
    <w:p w14:paraId="54B4FD15" w14:textId="77777777" w:rsidR="00E546E9" w:rsidRPr="00E546E9" w:rsidRDefault="00E546E9" w:rsidP="00E546E9">
      <w:pPr>
        <w:numPr>
          <w:ilvl w:val="0"/>
          <w:numId w:val="3"/>
        </w:numPr>
      </w:pPr>
      <w:r w:rsidRPr="00E546E9">
        <w:t>Provide an opportunity for a hearing, if required, to clarify any further concerns.</w:t>
      </w:r>
    </w:p>
    <w:p w14:paraId="3E5DF19C" w14:textId="77777777" w:rsidR="00E546E9" w:rsidRPr="00E546E9" w:rsidRDefault="00E546E9" w:rsidP="00E546E9">
      <w:r w:rsidRPr="00E546E9">
        <w:t>I am submitting all relevant documents to support my claim and remain at your disposal for any additional information.</w:t>
      </w:r>
    </w:p>
    <w:p w14:paraId="350AC57D" w14:textId="77777777" w:rsidR="00E546E9" w:rsidRPr="00E546E9" w:rsidRDefault="00E546E9" w:rsidP="00E546E9">
      <w:r w:rsidRPr="00E546E9">
        <w:t>Thank you for your understanding and cooperation.</w:t>
      </w:r>
    </w:p>
    <w:p w14:paraId="794721C0" w14:textId="77777777" w:rsidR="00E546E9" w:rsidRPr="00E546E9" w:rsidRDefault="00E546E9" w:rsidP="00E546E9">
      <w:r w:rsidRPr="00E546E9">
        <w:rPr>
          <w:b/>
          <w:bCs/>
        </w:rPr>
        <w:t>Yours faithfully,</w:t>
      </w:r>
      <w:r w:rsidRPr="00E546E9">
        <w:br/>
      </w:r>
      <w:r w:rsidRPr="00E546E9">
        <w:br/>
      </w:r>
      <w:r w:rsidRPr="00E546E9">
        <w:rPr>
          <w:b/>
          <w:bCs/>
        </w:rPr>
        <w:t>Enclosures:</w:t>
      </w:r>
    </w:p>
    <w:p w14:paraId="38E6BEAF" w14:textId="77777777" w:rsidR="00E546E9" w:rsidRPr="00E546E9" w:rsidRDefault="00E546E9" w:rsidP="00E546E9">
      <w:pPr>
        <w:numPr>
          <w:ilvl w:val="0"/>
          <w:numId w:val="4"/>
        </w:numPr>
      </w:pPr>
      <w:r w:rsidRPr="00E546E9">
        <w:t>Tax invoices related to the disputed ITC.</w:t>
      </w:r>
    </w:p>
    <w:p w14:paraId="072E03D6" w14:textId="77777777" w:rsidR="00E546E9" w:rsidRPr="00E546E9" w:rsidRDefault="00E546E9" w:rsidP="00E546E9">
      <w:pPr>
        <w:numPr>
          <w:ilvl w:val="0"/>
          <w:numId w:val="4"/>
        </w:numPr>
      </w:pPr>
      <w:r w:rsidRPr="00E546E9">
        <w:t>Payment proofs to the supplier.</w:t>
      </w:r>
    </w:p>
    <w:p w14:paraId="0B55EE6E" w14:textId="77777777" w:rsidR="00E546E9" w:rsidRPr="00E546E9" w:rsidRDefault="00E546E9" w:rsidP="00E546E9">
      <w:pPr>
        <w:numPr>
          <w:ilvl w:val="0"/>
          <w:numId w:val="4"/>
        </w:numPr>
      </w:pPr>
      <w:r w:rsidRPr="00E546E9">
        <w:t>GST Returns filed for the relevant period.</w:t>
      </w:r>
    </w:p>
    <w:p w14:paraId="7AA8A296" w14:textId="77777777" w:rsidR="00E546E9" w:rsidRPr="00E546E9" w:rsidRDefault="00E546E9" w:rsidP="00E546E9">
      <w:pPr>
        <w:numPr>
          <w:ilvl w:val="0"/>
          <w:numId w:val="4"/>
        </w:numPr>
      </w:pPr>
      <w:r w:rsidRPr="00E546E9">
        <w:t>Any other supporting documents.</w:t>
      </w:r>
    </w:p>
    <w:p w14:paraId="1F6B8693"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21E84"/>
    <w:multiLevelType w:val="multilevel"/>
    <w:tmpl w:val="AD04E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11311B"/>
    <w:multiLevelType w:val="multilevel"/>
    <w:tmpl w:val="46DAA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6914EF"/>
    <w:multiLevelType w:val="multilevel"/>
    <w:tmpl w:val="7A56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271E6"/>
    <w:multiLevelType w:val="multilevel"/>
    <w:tmpl w:val="B946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605973">
    <w:abstractNumId w:val="3"/>
  </w:num>
  <w:num w:numId="2" w16cid:durableId="2066367504">
    <w:abstractNumId w:val="2"/>
  </w:num>
  <w:num w:numId="3" w16cid:durableId="704059175">
    <w:abstractNumId w:val="0"/>
  </w:num>
  <w:num w:numId="4" w16cid:durableId="95703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E9"/>
    <w:rsid w:val="00031CAE"/>
    <w:rsid w:val="00447B58"/>
    <w:rsid w:val="005237F3"/>
    <w:rsid w:val="00B35E1F"/>
    <w:rsid w:val="00E546E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98BB"/>
  <w15:chartTrackingRefBased/>
  <w15:docId w15:val="{8D07D1A2-1DBC-4F60-B12C-E25C7F8E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6E9"/>
    <w:rPr>
      <w:rFonts w:eastAsiaTheme="majorEastAsia" w:cstheme="majorBidi"/>
      <w:color w:val="272727" w:themeColor="text1" w:themeTint="D8"/>
    </w:rPr>
  </w:style>
  <w:style w:type="paragraph" w:styleId="Title">
    <w:name w:val="Title"/>
    <w:basedOn w:val="Normal"/>
    <w:next w:val="Normal"/>
    <w:link w:val="TitleChar"/>
    <w:uiPriority w:val="10"/>
    <w:qFormat/>
    <w:rsid w:val="00E54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6E9"/>
    <w:pPr>
      <w:spacing w:before="160"/>
      <w:jc w:val="center"/>
    </w:pPr>
    <w:rPr>
      <w:i/>
      <w:iCs/>
      <w:color w:val="404040" w:themeColor="text1" w:themeTint="BF"/>
    </w:rPr>
  </w:style>
  <w:style w:type="character" w:customStyle="1" w:styleId="QuoteChar">
    <w:name w:val="Quote Char"/>
    <w:basedOn w:val="DefaultParagraphFont"/>
    <w:link w:val="Quote"/>
    <w:uiPriority w:val="29"/>
    <w:rsid w:val="00E546E9"/>
    <w:rPr>
      <w:i/>
      <w:iCs/>
      <w:color w:val="404040" w:themeColor="text1" w:themeTint="BF"/>
    </w:rPr>
  </w:style>
  <w:style w:type="paragraph" w:styleId="ListParagraph">
    <w:name w:val="List Paragraph"/>
    <w:basedOn w:val="Normal"/>
    <w:uiPriority w:val="34"/>
    <w:qFormat/>
    <w:rsid w:val="00E546E9"/>
    <w:pPr>
      <w:ind w:left="720"/>
      <w:contextualSpacing/>
    </w:pPr>
  </w:style>
  <w:style w:type="character" w:styleId="IntenseEmphasis">
    <w:name w:val="Intense Emphasis"/>
    <w:basedOn w:val="DefaultParagraphFont"/>
    <w:uiPriority w:val="21"/>
    <w:qFormat/>
    <w:rsid w:val="00E546E9"/>
    <w:rPr>
      <w:i/>
      <w:iCs/>
      <w:color w:val="2F5496" w:themeColor="accent1" w:themeShade="BF"/>
    </w:rPr>
  </w:style>
  <w:style w:type="paragraph" w:styleId="IntenseQuote">
    <w:name w:val="Intense Quote"/>
    <w:basedOn w:val="Normal"/>
    <w:next w:val="Normal"/>
    <w:link w:val="IntenseQuoteChar"/>
    <w:uiPriority w:val="30"/>
    <w:qFormat/>
    <w:rsid w:val="00E54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6E9"/>
    <w:rPr>
      <w:i/>
      <w:iCs/>
      <w:color w:val="2F5496" w:themeColor="accent1" w:themeShade="BF"/>
    </w:rPr>
  </w:style>
  <w:style w:type="character" w:styleId="IntenseReference">
    <w:name w:val="Intense Reference"/>
    <w:basedOn w:val="DefaultParagraphFont"/>
    <w:uiPriority w:val="32"/>
    <w:qFormat/>
    <w:rsid w:val="00E546E9"/>
    <w:rPr>
      <w:b/>
      <w:bCs/>
      <w:smallCaps/>
      <w:color w:val="2F5496" w:themeColor="accent1" w:themeShade="BF"/>
      <w:spacing w:val="5"/>
    </w:rPr>
  </w:style>
  <w:style w:type="character" w:styleId="Hyperlink">
    <w:name w:val="Hyperlink"/>
    <w:basedOn w:val="DefaultParagraphFont"/>
    <w:uiPriority w:val="99"/>
    <w:unhideWhenUsed/>
    <w:rsid w:val="00E546E9"/>
    <w:rPr>
      <w:color w:val="0563C1" w:themeColor="hyperlink"/>
      <w:u w:val="single"/>
    </w:rPr>
  </w:style>
  <w:style w:type="character" w:styleId="UnresolvedMention">
    <w:name w:val="Unresolved Mention"/>
    <w:basedOn w:val="DefaultParagraphFont"/>
    <w:uiPriority w:val="99"/>
    <w:semiHidden/>
    <w:unhideWhenUsed/>
    <w:rsid w:val="00E54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2025-10-29T09:48:00Z</dcterms:created>
  <dcterms:modified xsi:type="dcterms:W3CDTF">2025-10-29T09:50:00Z</dcterms:modified>
</cp:coreProperties>
</file>