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0525"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Date---------------</w:t>
      </w:r>
    </w:p>
    <w:p w14:paraId="1B29492A"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To</w:t>
      </w:r>
      <w:r w:rsidRPr="00731F2B">
        <w:rPr>
          <w:rFonts w:ascii="Default Font" w:eastAsia="Times New Roman" w:hAnsi="Default Font" w:cs="Times New Roman"/>
          <w:color w:val="333333"/>
          <w:kern w:val="0"/>
          <w:sz w:val="36"/>
          <w:szCs w:val="36"/>
          <w14:ligatures w14:val="none"/>
        </w:rPr>
        <w:br/>
        <w:t>The Jurisdictional Officer</w:t>
      </w:r>
      <w:r w:rsidRPr="00731F2B">
        <w:rPr>
          <w:rFonts w:ascii="Default Font" w:eastAsia="Times New Roman" w:hAnsi="Default Font" w:cs="Times New Roman"/>
          <w:color w:val="333333"/>
          <w:kern w:val="0"/>
          <w:sz w:val="36"/>
          <w:szCs w:val="36"/>
          <w14:ligatures w14:val="none"/>
        </w:rPr>
        <w:br/>
        <w:t>______ Division</w:t>
      </w:r>
      <w:r w:rsidRPr="00731F2B">
        <w:rPr>
          <w:rFonts w:ascii="Default Font" w:eastAsia="Times New Roman" w:hAnsi="Default Font" w:cs="Times New Roman"/>
          <w:color w:val="333333"/>
          <w:kern w:val="0"/>
          <w:sz w:val="36"/>
          <w:szCs w:val="36"/>
          <w14:ligatures w14:val="none"/>
        </w:rPr>
        <w:br/>
        <w:t>______ Commissionerate</w:t>
      </w:r>
    </w:p>
    <w:p w14:paraId="19E89951"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Subject: Response to Notice for Disallowance of Input Tax Credit Due to Non-filing of GSTR-1 and GSTR-3B as per the provisions of Section 16(4) of the CGST Act, 2017.</w:t>
      </w:r>
    </w:p>
    <w:p w14:paraId="0B4E6FBA"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Dear Sir/Madam,</w:t>
      </w:r>
    </w:p>
    <w:p w14:paraId="5B20E7FE" w14:textId="6FFF117D"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We acknowledge the receipt of your notice dated ------------ issued under section/Rule ------------ of the CGST Act/Rules. The notice highlights discrepancies in the Input Tax Credit (ITC) claimed in Form </w:t>
      </w:r>
      <w:r w:rsidRPr="00731F2B">
        <w:rPr>
          <w:rFonts w:ascii="Default Font" w:eastAsia="Times New Roman" w:hAnsi="Default Font" w:cs="Times New Roman"/>
          <w:b/>
          <w:bCs/>
          <w:color w:val="FF0000"/>
          <w:kern w:val="0"/>
          <w:sz w:val="36"/>
          <w:szCs w:val="36"/>
          <w:u w:val="single"/>
          <w14:ligatures w14:val="none"/>
        </w:rPr>
        <w:t>GSTR-3B</w:t>
      </w:r>
      <w:r w:rsidRPr="00731F2B">
        <w:rPr>
          <w:rFonts w:ascii="Default Font" w:eastAsia="Times New Roman" w:hAnsi="Default Font" w:cs="Times New Roman"/>
          <w:color w:val="333333"/>
          <w:kern w:val="0"/>
          <w:sz w:val="36"/>
          <w:szCs w:val="36"/>
          <w14:ligatures w14:val="none"/>
        </w:rPr>
        <w:t> which are not reflected in Form </w:t>
      </w:r>
      <w:r w:rsidRPr="00731F2B">
        <w:rPr>
          <w:rFonts w:ascii="Default Font" w:eastAsia="Times New Roman" w:hAnsi="Default Font" w:cs="Times New Roman"/>
          <w:b/>
          <w:bCs/>
          <w:color w:val="FF0000"/>
          <w:kern w:val="0"/>
          <w:sz w:val="36"/>
          <w:szCs w:val="36"/>
          <w:u w:val="single"/>
          <w14:ligatures w14:val="none"/>
        </w:rPr>
        <w:t>GSTR-2A</w:t>
      </w:r>
      <w:r w:rsidRPr="00731F2B">
        <w:rPr>
          <w:rFonts w:ascii="Default Font" w:eastAsia="Times New Roman" w:hAnsi="Default Font" w:cs="Times New Roman"/>
          <w:color w:val="333333"/>
          <w:kern w:val="0"/>
          <w:sz w:val="36"/>
          <w:szCs w:val="36"/>
          <w14:ligatures w14:val="none"/>
        </w:rPr>
        <w:t> for the financial years 2017-18 and 2018-19. It has been asked from us that the ITC be disallow due to non-filing of </w:t>
      </w:r>
      <w:r w:rsidRPr="00731F2B">
        <w:rPr>
          <w:rFonts w:ascii="Default Font" w:eastAsia="Times New Roman" w:hAnsi="Default Font" w:cs="Times New Roman"/>
          <w:b/>
          <w:bCs/>
          <w:color w:val="FF0000"/>
          <w:kern w:val="0"/>
          <w:sz w:val="36"/>
          <w:szCs w:val="36"/>
          <w:u w:val="single"/>
          <w14:ligatures w14:val="none"/>
        </w:rPr>
        <w:t>GSTR-1</w:t>
      </w:r>
      <w:r w:rsidRPr="00731F2B">
        <w:rPr>
          <w:rFonts w:ascii="Default Font" w:eastAsia="Times New Roman" w:hAnsi="Default Font" w:cs="Times New Roman"/>
          <w:color w:val="333333"/>
          <w:kern w:val="0"/>
          <w:sz w:val="36"/>
          <w:szCs w:val="36"/>
          <w14:ligatures w14:val="none"/>
        </w:rPr>
        <w:t> by the supplier as per the provisions of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(4).</w:t>
      </w:r>
    </w:p>
    <w:p w14:paraId="1870E8AC"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We wish to submit the following points for your kind consideration:</w:t>
      </w:r>
    </w:p>
    <w:p w14:paraId="3E9AC974" w14:textId="0DAB67D4" w:rsidR="00731F2B" w:rsidRPr="00731F2B" w:rsidRDefault="00731F2B" w:rsidP="00731F2B">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Fulfilling Conditions under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b/>
          <w:bCs/>
          <w:color w:val="333333"/>
          <w:kern w:val="0"/>
          <w:sz w:val="36"/>
          <w:szCs w:val="36"/>
          <w14:ligatures w14:val="none"/>
        </w:rPr>
        <w:t> of the CGST Act:</w:t>
      </w:r>
      <w:r w:rsidRPr="00731F2B">
        <w:rPr>
          <w:rFonts w:ascii="Default Font" w:eastAsia="Times New Roman" w:hAnsi="Default Font" w:cs="Times New Roman"/>
          <w:color w:val="333333"/>
          <w:kern w:val="0"/>
          <w:sz w:val="36"/>
          <w:szCs w:val="36"/>
          <w14:ligatures w14:val="none"/>
        </w:rPr>
        <w:t> We, [insert your company name], engaged in the business of [insert nature of business], have adhered to all conditions laid down under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 of the CGST Act, 2017, for claiming ITC, which include:</w:t>
      </w:r>
    </w:p>
    <w:p w14:paraId="532F3F1B" w14:textId="77777777" w:rsidR="00731F2B" w:rsidRPr="00731F2B" w:rsidRDefault="00731F2B" w:rsidP="00731F2B">
      <w:pPr>
        <w:numPr>
          <w:ilvl w:val="1"/>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Possession of a valid tax invoice or debit note issued by the supplier. </w:t>
      </w:r>
    </w:p>
    <w:p w14:paraId="5694D216" w14:textId="77777777" w:rsidR="00731F2B" w:rsidRPr="00731F2B" w:rsidRDefault="00731F2B" w:rsidP="00731F2B">
      <w:pPr>
        <w:numPr>
          <w:ilvl w:val="1"/>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lastRenderedPageBreak/>
        <w:t>Receipt of goods or services or both. </w:t>
      </w:r>
    </w:p>
    <w:p w14:paraId="264C89AF" w14:textId="77777777" w:rsidR="00731F2B" w:rsidRPr="00731F2B" w:rsidRDefault="00731F2B" w:rsidP="00731F2B">
      <w:pPr>
        <w:numPr>
          <w:ilvl w:val="1"/>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Payment of the value of supply along with the applicable tax to the supplier. </w:t>
      </w:r>
    </w:p>
    <w:p w14:paraId="614AC36E" w14:textId="07E1EEBC" w:rsidR="00731F2B" w:rsidRPr="00731F2B" w:rsidRDefault="00731F2B" w:rsidP="00731F2B">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Compliance with ITC Claim Provisions:</w:t>
      </w:r>
      <w:r w:rsidRPr="00731F2B">
        <w:rPr>
          <w:rFonts w:ascii="Default Font" w:eastAsia="Times New Roman" w:hAnsi="Default Font" w:cs="Times New Roman"/>
          <w:color w:val="333333"/>
          <w:kern w:val="0"/>
          <w:sz w:val="36"/>
          <w:szCs w:val="36"/>
          <w14:ligatures w14:val="none"/>
        </w:rPr>
        <w:t> We have claimed ITC based on physical invoices that meet all the prescribed conditions under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 There is no excess ITC claimed in </w:t>
      </w:r>
      <w:r w:rsidRPr="00731F2B">
        <w:rPr>
          <w:rFonts w:ascii="Default Font" w:eastAsia="Times New Roman" w:hAnsi="Default Font" w:cs="Times New Roman"/>
          <w:b/>
          <w:bCs/>
          <w:color w:val="FF0000"/>
          <w:kern w:val="0"/>
          <w:sz w:val="36"/>
          <w:szCs w:val="36"/>
          <w:u w:val="single"/>
          <w14:ligatures w14:val="none"/>
        </w:rPr>
        <w:t>GSTR-3B</w:t>
      </w:r>
      <w:r w:rsidRPr="00731F2B">
        <w:rPr>
          <w:rFonts w:ascii="Default Font" w:eastAsia="Times New Roman" w:hAnsi="Default Font" w:cs="Times New Roman"/>
          <w:color w:val="333333"/>
          <w:kern w:val="0"/>
          <w:sz w:val="36"/>
          <w:szCs w:val="36"/>
          <w14:ligatures w14:val="none"/>
        </w:rPr>
        <w:t> as alleged in the notice. It is pertinent to mention that during the initial stages of GST implementation, FORM </w:t>
      </w:r>
      <w:r w:rsidRPr="00731F2B">
        <w:rPr>
          <w:rFonts w:ascii="Default Font" w:eastAsia="Times New Roman" w:hAnsi="Default Font" w:cs="Times New Roman"/>
          <w:b/>
          <w:bCs/>
          <w:color w:val="FF0000"/>
          <w:kern w:val="0"/>
          <w:sz w:val="36"/>
          <w:szCs w:val="36"/>
          <w:u w:val="single"/>
          <w14:ligatures w14:val="none"/>
        </w:rPr>
        <w:t>GSTR-2A</w:t>
      </w:r>
      <w:r w:rsidRPr="00731F2B">
        <w:rPr>
          <w:rFonts w:ascii="Default Font" w:eastAsia="Times New Roman" w:hAnsi="Default Font" w:cs="Times New Roman"/>
          <w:color w:val="333333"/>
          <w:kern w:val="0"/>
          <w:sz w:val="36"/>
          <w:szCs w:val="36"/>
          <w14:ligatures w14:val="none"/>
        </w:rPr>
        <w:t> was not available on the common portal. The restrictions on availing ITC as per </w:t>
      </w:r>
      <w:r w:rsidRPr="00731F2B">
        <w:rPr>
          <w:rFonts w:ascii="Default Font" w:eastAsia="Times New Roman" w:hAnsi="Default Font" w:cs="Times New Roman"/>
          <w:b/>
          <w:bCs/>
          <w:color w:val="FF0000"/>
          <w:kern w:val="0"/>
          <w:sz w:val="36"/>
          <w:szCs w:val="36"/>
          <w:u w:val="single"/>
          <w14:ligatures w14:val="none"/>
        </w:rPr>
        <w:t>Rule 36(4)</w:t>
      </w:r>
      <w:r w:rsidRPr="00731F2B">
        <w:rPr>
          <w:rFonts w:ascii="Default Font" w:eastAsia="Times New Roman" w:hAnsi="Default Font" w:cs="Times New Roman"/>
          <w:color w:val="333333"/>
          <w:kern w:val="0"/>
          <w:sz w:val="36"/>
          <w:szCs w:val="36"/>
          <w14:ligatures w14:val="none"/>
        </w:rPr>
        <w:t> of the Central Goods and Services Tax Rules, 2017, effective from 9th October 2019, are not applicable to the period in question. </w:t>
      </w:r>
    </w:p>
    <w:p w14:paraId="0C385065" w14:textId="4216611F" w:rsidR="00731F2B" w:rsidRPr="00731F2B" w:rsidRDefault="00731F2B" w:rsidP="00731F2B">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Clarification on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b/>
          <w:bCs/>
          <w:color w:val="333333"/>
          <w:kern w:val="0"/>
          <w:sz w:val="36"/>
          <w:szCs w:val="36"/>
          <w14:ligatures w14:val="none"/>
        </w:rPr>
        <w:t>(4) of the CGST Act:</w:t>
      </w:r>
      <w:r w:rsidRPr="00731F2B">
        <w:rPr>
          <w:rFonts w:ascii="Default Font" w:eastAsia="Times New Roman" w:hAnsi="Default Font" w:cs="Times New Roman"/>
          <w:color w:val="333333"/>
          <w:kern w:val="0"/>
          <w:sz w:val="36"/>
          <w:szCs w:val="36"/>
          <w14:ligatures w14:val="none"/>
        </w:rPr>
        <w:t>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(4) of the CGST Act, 2017, stipulates that a registered person cannot claim ITC for any invoice or debit note after the due date for furnishing the return for the month of September following the end of the financial year or the date of furnishing the relevant annual return, whichever is earlier. This provision applies to the recipient of goods or services and not the supplier. Hence, the eligibility of the recipient to claim ITC should not be impacted by the supplier’s delay in filing returns, provided the recipient has complied with all statutory conditions under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 </w:t>
      </w:r>
    </w:p>
    <w:p w14:paraId="6770E8B6" w14:textId="0E6AB054" w:rsidR="00731F2B" w:rsidRPr="00731F2B" w:rsidRDefault="00731F2B" w:rsidP="00731F2B">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Reference to Circular No. </w:t>
      </w:r>
      <w:r w:rsidRPr="00731F2B">
        <w:rPr>
          <w:rFonts w:ascii="Default Font" w:eastAsia="Times New Roman" w:hAnsi="Default Font" w:cs="Times New Roman"/>
          <w:b/>
          <w:bCs/>
          <w:color w:val="FF0000"/>
          <w:kern w:val="0"/>
          <w:sz w:val="36"/>
          <w:szCs w:val="36"/>
          <w:u w:val="single"/>
          <w14:ligatures w14:val="none"/>
        </w:rPr>
        <w:t>183/15/2022</w:t>
      </w:r>
      <w:r w:rsidRPr="00731F2B">
        <w:rPr>
          <w:rFonts w:ascii="Default Font" w:eastAsia="Times New Roman" w:hAnsi="Default Font" w:cs="Times New Roman"/>
          <w:b/>
          <w:bCs/>
          <w:color w:val="333333"/>
          <w:kern w:val="0"/>
          <w:sz w:val="36"/>
          <w:szCs w:val="36"/>
          <w14:ligatures w14:val="none"/>
        </w:rPr>
        <w:t>-GST:</w:t>
      </w:r>
      <w:r w:rsidRPr="00731F2B">
        <w:rPr>
          <w:rFonts w:ascii="Default Font" w:eastAsia="Times New Roman" w:hAnsi="Default Font" w:cs="Times New Roman"/>
          <w:color w:val="333333"/>
          <w:kern w:val="0"/>
          <w:sz w:val="36"/>
          <w:szCs w:val="36"/>
          <w14:ligatures w14:val="none"/>
        </w:rPr>
        <w:t> The CBIC, via Circular No. </w:t>
      </w:r>
      <w:r w:rsidRPr="00731F2B">
        <w:rPr>
          <w:rFonts w:ascii="Default Font" w:eastAsia="Times New Roman" w:hAnsi="Default Font" w:cs="Times New Roman"/>
          <w:b/>
          <w:bCs/>
          <w:color w:val="FF0000"/>
          <w:kern w:val="0"/>
          <w:sz w:val="36"/>
          <w:szCs w:val="36"/>
          <w:u w:val="single"/>
          <w14:ligatures w14:val="none"/>
        </w:rPr>
        <w:t>183/15/2022</w:t>
      </w:r>
      <w:r w:rsidRPr="00731F2B">
        <w:rPr>
          <w:rFonts w:ascii="Default Font" w:eastAsia="Times New Roman" w:hAnsi="Default Font" w:cs="Times New Roman"/>
          <w:color w:val="333333"/>
          <w:kern w:val="0"/>
          <w:sz w:val="36"/>
          <w:szCs w:val="36"/>
          <w14:ligatures w14:val="none"/>
        </w:rPr>
        <w:t>-GST dated 27th December 2022, provided clarifications that were not considered by the respondent authorities. The GST department can request a certificate from a Chartered Accountant or Cost Accountant to verify the supplier’s invoices and the payment of tax as reflected in FORM </w:t>
      </w:r>
      <w:r w:rsidRPr="00731F2B">
        <w:rPr>
          <w:rFonts w:ascii="Default Font" w:eastAsia="Times New Roman" w:hAnsi="Default Font" w:cs="Times New Roman"/>
          <w:b/>
          <w:bCs/>
          <w:color w:val="FF0000"/>
          <w:kern w:val="0"/>
          <w:sz w:val="36"/>
          <w:szCs w:val="36"/>
          <w:u w:val="single"/>
          <w14:ligatures w14:val="none"/>
        </w:rPr>
        <w:t>GSTR-3B</w:t>
      </w:r>
      <w:r w:rsidRPr="00731F2B">
        <w:rPr>
          <w:rFonts w:ascii="Default Font" w:eastAsia="Times New Roman" w:hAnsi="Default Font" w:cs="Times New Roman"/>
          <w:color w:val="333333"/>
          <w:kern w:val="0"/>
          <w:sz w:val="36"/>
          <w:szCs w:val="36"/>
          <w14:ligatures w14:val="none"/>
        </w:rPr>
        <w:t>. </w:t>
      </w:r>
    </w:p>
    <w:p w14:paraId="719C8CE5" w14:textId="79CF6734" w:rsidR="00731F2B" w:rsidRPr="00731F2B" w:rsidRDefault="00731F2B" w:rsidP="00731F2B">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b/>
          <w:bCs/>
          <w:color w:val="333333"/>
          <w:kern w:val="0"/>
          <w:sz w:val="36"/>
          <w:szCs w:val="36"/>
          <w14:ligatures w14:val="none"/>
        </w:rPr>
        <w:t>Court Judgements on the Subject:</w:t>
      </w:r>
      <w:r w:rsidRPr="00731F2B">
        <w:rPr>
          <w:rFonts w:ascii="Default Font" w:eastAsia="Times New Roman" w:hAnsi="Default Font" w:cs="Times New Roman"/>
          <w:color w:val="333333"/>
          <w:kern w:val="0"/>
          <w:sz w:val="36"/>
          <w:szCs w:val="36"/>
          <w14:ligatures w14:val="none"/>
        </w:rPr>
        <w:t> We draw your attention to the judgement in the case of </w:t>
      </w:r>
      <w:r w:rsidRPr="00731F2B">
        <w:rPr>
          <w:rFonts w:ascii="Default Font" w:eastAsia="Times New Roman" w:hAnsi="Default Font" w:cs="Times New Roman"/>
          <w:b/>
          <w:bCs/>
          <w:color w:val="333333"/>
          <w:kern w:val="0"/>
          <w:sz w:val="36"/>
          <w:szCs w:val="36"/>
          <w14:ligatures w14:val="none"/>
        </w:rPr>
        <w:t xml:space="preserve">D.Y. </w:t>
      </w:r>
      <w:proofErr w:type="spellStart"/>
      <w:r w:rsidRPr="00731F2B">
        <w:rPr>
          <w:rFonts w:ascii="Default Font" w:eastAsia="Times New Roman" w:hAnsi="Default Font" w:cs="Times New Roman"/>
          <w:b/>
          <w:bCs/>
          <w:color w:val="333333"/>
          <w:kern w:val="0"/>
          <w:sz w:val="36"/>
          <w:szCs w:val="36"/>
          <w14:ligatures w14:val="none"/>
        </w:rPr>
        <w:t>Beathel</w:t>
      </w:r>
      <w:proofErr w:type="spellEnd"/>
      <w:r w:rsidRPr="00731F2B">
        <w:rPr>
          <w:rFonts w:ascii="Default Font" w:eastAsia="Times New Roman" w:hAnsi="Default Font" w:cs="Times New Roman"/>
          <w:b/>
          <w:bCs/>
          <w:color w:val="333333"/>
          <w:kern w:val="0"/>
          <w:sz w:val="36"/>
          <w:szCs w:val="36"/>
          <w14:ligatures w14:val="none"/>
        </w:rPr>
        <w:t xml:space="preserve"> Enterprises v. State Tax Officer (Data Cell</w:t>
      </w:r>
      <w:proofErr w:type="gramStart"/>
      <w:r w:rsidRPr="00731F2B">
        <w:rPr>
          <w:rFonts w:ascii="Default Font" w:eastAsia="Times New Roman" w:hAnsi="Default Font" w:cs="Times New Roman"/>
          <w:b/>
          <w:bCs/>
          <w:color w:val="333333"/>
          <w:kern w:val="0"/>
          <w:sz w:val="36"/>
          <w:szCs w:val="36"/>
          <w14:ligatures w14:val="none"/>
        </w:rPr>
        <w:t>) </w:t>
      </w:r>
      <w:r w:rsidRPr="00731F2B">
        <w:rPr>
          <w:rFonts w:ascii="Default Font" w:eastAsia="Times New Roman" w:hAnsi="Default Font" w:cs="Times New Roman"/>
          <w:color w:val="333333"/>
          <w:kern w:val="0"/>
          <w:sz w:val="36"/>
          <w:szCs w:val="36"/>
          <w14:ligatures w14:val="none"/>
        </w:rPr>
        <w:t>,</w:t>
      </w:r>
      <w:proofErr w:type="gramEnd"/>
      <w:r w:rsidRPr="00731F2B">
        <w:rPr>
          <w:rFonts w:ascii="Default Font" w:eastAsia="Times New Roman" w:hAnsi="Default Font" w:cs="Times New Roman"/>
          <w:color w:val="333333"/>
          <w:kern w:val="0"/>
          <w:sz w:val="36"/>
          <w:szCs w:val="36"/>
          <w14:ligatures w14:val="none"/>
        </w:rPr>
        <w:t xml:space="preserve"> where the Hon’ble Madras High Court held that the department cannot deny ITC on account of the supplier’s default in filing returns, provided the recipient has complied with all conditions under </w:t>
      </w:r>
      <w:r w:rsidRPr="00731F2B">
        <w:rPr>
          <w:rFonts w:ascii="Default Font" w:eastAsia="Times New Roman" w:hAnsi="Default Font" w:cs="Times New Roman"/>
          <w:b/>
          <w:bCs/>
          <w:color w:val="FF0000"/>
          <w:kern w:val="0"/>
          <w:sz w:val="36"/>
          <w:szCs w:val="36"/>
          <w:u w:val="single"/>
          <w14:ligatures w14:val="none"/>
        </w:rPr>
        <w:t>Section 16</w:t>
      </w:r>
      <w:r w:rsidRPr="00731F2B">
        <w:rPr>
          <w:rFonts w:ascii="Default Font" w:eastAsia="Times New Roman" w:hAnsi="Default Font" w:cs="Times New Roman"/>
          <w:color w:val="333333"/>
          <w:kern w:val="0"/>
          <w:sz w:val="36"/>
          <w:szCs w:val="36"/>
          <w14:ligatures w14:val="none"/>
        </w:rPr>
        <w:t>. Further, in the case of </w:t>
      </w:r>
      <w:proofErr w:type="spellStart"/>
      <w:r w:rsidRPr="00731F2B">
        <w:rPr>
          <w:rFonts w:ascii="Default Font" w:eastAsia="Times New Roman" w:hAnsi="Default Font" w:cs="Times New Roman"/>
          <w:b/>
          <w:bCs/>
          <w:color w:val="333333"/>
          <w:kern w:val="0"/>
          <w:sz w:val="36"/>
          <w:szCs w:val="36"/>
          <w14:ligatures w14:val="none"/>
        </w:rPr>
        <w:t>Suncraft</w:t>
      </w:r>
      <w:proofErr w:type="spellEnd"/>
      <w:r w:rsidRPr="00731F2B">
        <w:rPr>
          <w:rFonts w:ascii="Default Font" w:eastAsia="Times New Roman" w:hAnsi="Default Font" w:cs="Times New Roman"/>
          <w:b/>
          <w:bCs/>
          <w:color w:val="333333"/>
          <w:kern w:val="0"/>
          <w:sz w:val="36"/>
          <w:szCs w:val="36"/>
          <w14:ligatures w14:val="none"/>
        </w:rPr>
        <w:t xml:space="preserve"> Energy Private Limited and Another ,</w:t>
      </w:r>
      <w:r w:rsidRPr="00731F2B">
        <w:rPr>
          <w:rFonts w:ascii="Default Font" w:eastAsia="Times New Roman" w:hAnsi="Default Font" w:cs="Times New Roman"/>
          <w:color w:val="333333"/>
          <w:kern w:val="0"/>
          <w:sz w:val="36"/>
          <w:szCs w:val="36"/>
          <w14:ligatures w14:val="none"/>
        </w:rPr>
        <w:t> the Hon’ble Calcutta High Court held that the assessing authority without resorting to any action against the selling dealer has ignored the tax invoices produced by the appellant as well as the bank statement to substantiate that they have paid the price for the goods and services rendered as well as the tax payable there on, the action of the assessing authority has to be branded as arbitrarily. Therefore, before directing the appellant to reverse the input tax credit and remit the same to the government, the first respondent ought to have taken action against the supplier and unless and until the assessing authority is able to bring out the exceptional case where there has been collusion between the appellant and the supplier or where the supplier is missing or the supplier has closed down its business or the supplier does not have any assets and such other contingencies, straight away the assessing authority was not justified in directing the appellant to reverse the input tax credit availed by them. Therefore, we are of the view that the demand raised on the appellant dated 20.02.2023 is not sustainable. </w:t>
      </w:r>
    </w:p>
    <w:p w14:paraId="1DD613EC" w14:textId="656696A1"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In light of the above facts and judicial pronouncements, we request you to kindly accept our justification regarding the discrepancies in ITC availed in </w:t>
      </w:r>
      <w:r w:rsidRPr="00731F2B">
        <w:rPr>
          <w:rFonts w:ascii="Default Font" w:eastAsia="Times New Roman" w:hAnsi="Default Font" w:cs="Times New Roman"/>
          <w:b/>
          <w:bCs/>
          <w:color w:val="FF0000"/>
          <w:kern w:val="0"/>
          <w:sz w:val="36"/>
          <w:szCs w:val="36"/>
          <w:u w:val="single"/>
          <w14:ligatures w14:val="none"/>
        </w:rPr>
        <w:t>GSTR-3B</w:t>
      </w:r>
      <w:r w:rsidRPr="00731F2B">
        <w:rPr>
          <w:rFonts w:ascii="Default Font" w:eastAsia="Times New Roman" w:hAnsi="Default Font" w:cs="Times New Roman"/>
          <w:color w:val="333333"/>
          <w:kern w:val="0"/>
          <w:sz w:val="36"/>
          <w:szCs w:val="36"/>
          <w14:ligatures w14:val="none"/>
        </w:rPr>
        <w:t> and </w:t>
      </w:r>
      <w:r w:rsidRPr="00731F2B">
        <w:rPr>
          <w:rFonts w:ascii="Default Font" w:eastAsia="Times New Roman" w:hAnsi="Default Font" w:cs="Times New Roman"/>
          <w:b/>
          <w:bCs/>
          <w:color w:val="FF0000"/>
          <w:kern w:val="0"/>
          <w:sz w:val="36"/>
          <w:szCs w:val="36"/>
          <w:u w:val="single"/>
          <w14:ligatures w14:val="none"/>
        </w:rPr>
        <w:t>GSTR-2A</w:t>
      </w:r>
      <w:r w:rsidRPr="00731F2B">
        <w:rPr>
          <w:rFonts w:ascii="Default Font" w:eastAsia="Times New Roman" w:hAnsi="Default Font" w:cs="Times New Roman"/>
          <w:color w:val="333333"/>
          <w:kern w:val="0"/>
          <w:sz w:val="36"/>
          <w:szCs w:val="36"/>
          <w14:ligatures w14:val="none"/>
        </w:rPr>
        <w:t> for the specified period.</w:t>
      </w:r>
    </w:p>
    <w:p w14:paraId="38C6F969" w14:textId="77777777" w:rsidR="00731F2B" w:rsidRPr="00731F2B" w:rsidRDefault="00731F2B" w:rsidP="00731F2B">
      <w:pPr>
        <w:spacing w:after="150" w:line="408" w:lineRule="atLeast"/>
        <w:rPr>
          <w:rFonts w:ascii="Default Font" w:eastAsia="Times New Roman" w:hAnsi="Default Font" w:cs="Times New Roman"/>
          <w:color w:val="333333"/>
          <w:kern w:val="0"/>
          <w:sz w:val="36"/>
          <w:szCs w:val="36"/>
          <w14:ligatures w14:val="none"/>
        </w:rPr>
      </w:pPr>
      <w:r w:rsidRPr="00731F2B">
        <w:rPr>
          <w:rFonts w:ascii="Default Font" w:eastAsia="Times New Roman" w:hAnsi="Default Font" w:cs="Times New Roman"/>
          <w:color w:val="333333"/>
          <w:kern w:val="0"/>
          <w:sz w:val="36"/>
          <w:szCs w:val="36"/>
          <w14:ligatures w14:val="none"/>
        </w:rPr>
        <w:t>We remain committed to complying with the GST laws and regulations and look forward to your positive consideration of our submission.</w:t>
      </w:r>
    </w:p>
    <w:p w14:paraId="237FB28B" w14:textId="71FDEB85" w:rsidR="005237F3" w:rsidRDefault="00731F2B" w:rsidP="00731F2B">
      <w:r w:rsidRPr="00731F2B">
        <w:rPr>
          <w:rFonts w:ascii="Default Font" w:eastAsia="Times New Roman" w:hAnsi="Default Font" w:cs="Times New Roman"/>
          <w:color w:val="333333"/>
          <w:kern w:val="0"/>
          <w:sz w:val="36"/>
          <w:szCs w:val="36"/>
          <w14:ligatures w14:val="none"/>
        </w:rPr>
        <w:t>Yours faithfully,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62C6"/>
    <w:multiLevelType w:val="multilevel"/>
    <w:tmpl w:val="0AD4C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65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2B"/>
    <w:rsid w:val="00031CAE"/>
    <w:rsid w:val="00447B58"/>
    <w:rsid w:val="005237F3"/>
    <w:rsid w:val="00731F2B"/>
    <w:rsid w:val="00B35E1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C857"/>
  <w15:chartTrackingRefBased/>
  <w15:docId w15:val="{C124B5AB-45A8-4282-A6BD-1864575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F2B"/>
    <w:rPr>
      <w:rFonts w:eastAsiaTheme="majorEastAsia" w:cstheme="majorBidi"/>
      <w:color w:val="272727" w:themeColor="text1" w:themeTint="D8"/>
    </w:rPr>
  </w:style>
  <w:style w:type="paragraph" w:styleId="Title">
    <w:name w:val="Title"/>
    <w:basedOn w:val="Normal"/>
    <w:next w:val="Normal"/>
    <w:link w:val="TitleChar"/>
    <w:uiPriority w:val="10"/>
    <w:qFormat/>
    <w:rsid w:val="0073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F2B"/>
    <w:pPr>
      <w:spacing w:before="160"/>
      <w:jc w:val="center"/>
    </w:pPr>
    <w:rPr>
      <w:i/>
      <w:iCs/>
      <w:color w:val="404040" w:themeColor="text1" w:themeTint="BF"/>
    </w:rPr>
  </w:style>
  <w:style w:type="character" w:customStyle="1" w:styleId="QuoteChar">
    <w:name w:val="Quote Char"/>
    <w:basedOn w:val="DefaultParagraphFont"/>
    <w:link w:val="Quote"/>
    <w:uiPriority w:val="29"/>
    <w:rsid w:val="00731F2B"/>
    <w:rPr>
      <w:i/>
      <w:iCs/>
      <w:color w:val="404040" w:themeColor="text1" w:themeTint="BF"/>
    </w:rPr>
  </w:style>
  <w:style w:type="paragraph" w:styleId="ListParagraph">
    <w:name w:val="List Paragraph"/>
    <w:basedOn w:val="Normal"/>
    <w:uiPriority w:val="34"/>
    <w:qFormat/>
    <w:rsid w:val="00731F2B"/>
    <w:pPr>
      <w:ind w:left="720"/>
      <w:contextualSpacing/>
    </w:pPr>
  </w:style>
  <w:style w:type="character" w:styleId="IntenseEmphasis">
    <w:name w:val="Intense Emphasis"/>
    <w:basedOn w:val="DefaultParagraphFont"/>
    <w:uiPriority w:val="21"/>
    <w:qFormat/>
    <w:rsid w:val="00731F2B"/>
    <w:rPr>
      <w:i/>
      <w:iCs/>
      <w:color w:val="2F5496" w:themeColor="accent1" w:themeShade="BF"/>
    </w:rPr>
  </w:style>
  <w:style w:type="paragraph" w:styleId="IntenseQuote">
    <w:name w:val="Intense Quote"/>
    <w:basedOn w:val="Normal"/>
    <w:next w:val="Normal"/>
    <w:link w:val="IntenseQuoteChar"/>
    <w:uiPriority w:val="30"/>
    <w:qFormat/>
    <w:rsid w:val="00731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F2B"/>
    <w:rPr>
      <w:i/>
      <w:iCs/>
      <w:color w:val="2F5496" w:themeColor="accent1" w:themeShade="BF"/>
    </w:rPr>
  </w:style>
  <w:style w:type="character" w:styleId="IntenseReference">
    <w:name w:val="Intense Reference"/>
    <w:basedOn w:val="DefaultParagraphFont"/>
    <w:uiPriority w:val="32"/>
    <w:qFormat/>
    <w:rsid w:val="00731F2B"/>
    <w:rPr>
      <w:b/>
      <w:bCs/>
      <w:smallCaps/>
      <w:color w:val="2F5496" w:themeColor="accent1" w:themeShade="BF"/>
      <w:spacing w:val="5"/>
    </w:rPr>
  </w:style>
  <w:style w:type="paragraph" w:styleId="NormalWeb">
    <w:name w:val="Normal (Web)"/>
    <w:basedOn w:val="Normal"/>
    <w:uiPriority w:val="99"/>
    <w:semiHidden/>
    <w:unhideWhenUsed/>
    <w:rsid w:val="00731F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31F2B"/>
    <w:rPr>
      <w:b/>
      <w:bCs/>
    </w:rPr>
  </w:style>
  <w:style w:type="character" w:styleId="Hyperlink">
    <w:name w:val="Hyperlink"/>
    <w:basedOn w:val="DefaultParagraphFont"/>
    <w:uiPriority w:val="99"/>
    <w:semiHidden/>
    <w:unhideWhenUsed/>
    <w:rsid w:val="00731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2025-10-29T10:22:00Z</dcterms:created>
  <dcterms:modified xsi:type="dcterms:W3CDTF">2025-10-29T10:42:00Z</dcterms:modified>
</cp:coreProperties>
</file>