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2A2C10" w:rsidRPr="002A2C10" w14:paraId="2175DECE" w14:textId="77777777">
        <w:trPr>
          <w:jc w:val="center"/>
        </w:trPr>
        <w:tc>
          <w:tcPr>
            <w:tcW w:w="0" w:type="auto"/>
            <w:shd w:val="clear" w:color="auto" w:fill="FFFFFF"/>
            <w:vAlign w:val="center"/>
            <w:hideMark/>
          </w:tcPr>
          <w:p w14:paraId="72B29D4D" w14:textId="77777777" w:rsidR="002A2C10" w:rsidRPr="002A2C10" w:rsidRDefault="002A2C10" w:rsidP="002A2C10">
            <w:r w:rsidRPr="002A2C10">
              <w:rPr>
                <w:b/>
                <w:bCs/>
              </w:rPr>
              <w:t>Reply for high utilization of ITC for setting of the tax liability.</w:t>
            </w:r>
          </w:p>
          <w:p w14:paraId="49497A73" w14:textId="77777777" w:rsidR="002A2C10" w:rsidRPr="002A2C10" w:rsidRDefault="002A2C10" w:rsidP="002A2C10">
            <w:r w:rsidRPr="002A2C10">
              <w:t>Date: ………………</w:t>
            </w:r>
          </w:p>
          <w:p w14:paraId="22EB6D50" w14:textId="77777777" w:rsidR="002A2C10" w:rsidRPr="002A2C10" w:rsidRDefault="002A2C10" w:rsidP="002A2C10">
            <w:r w:rsidRPr="002A2C10">
              <w:t>To</w:t>
            </w:r>
          </w:p>
          <w:p w14:paraId="3CCD603E" w14:textId="77777777" w:rsidR="002A2C10" w:rsidRPr="002A2C10" w:rsidRDefault="002A2C10" w:rsidP="002A2C10">
            <w:r w:rsidRPr="002A2C10">
              <w:t>Respected Sir,</w:t>
            </w:r>
          </w:p>
          <w:p w14:paraId="2DF1FD9F" w14:textId="77777777" w:rsidR="002A2C10" w:rsidRPr="002A2C10" w:rsidRDefault="002A2C10" w:rsidP="002A2C10">
            <w:r w:rsidRPr="002A2C10">
              <w:rPr>
                <w:b/>
                <w:bCs/>
              </w:rPr>
              <w:t>Sub—regarding high utilization of ITC for setting of the tax liability.</w:t>
            </w:r>
          </w:p>
          <w:p w14:paraId="379B8119" w14:textId="77777777" w:rsidR="002A2C10" w:rsidRPr="002A2C10" w:rsidRDefault="002A2C10" w:rsidP="002A2C10">
            <w:r w:rsidRPr="002A2C10">
              <w:t>Dear Sir/Ma`am</w:t>
            </w:r>
          </w:p>
          <w:p w14:paraId="63B468BB" w14:textId="77777777" w:rsidR="002A2C10" w:rsidRPr="002A2C10" w:rsidRDefault="002A2C10" w:rsidP="002A2C10">
            <w:r w:rsidRPr="002A2C10">
              <w:t>This Submission is in reference to Notice received dated ............. regarding payment of duties equal hundred per cent through Input Tax Credit (ITC) Rs. …... against total Tax Liability of Rs. ..............(i.e. high utilization of ITC) for the F.Y. ……… for setting off the tax liability.</w:t>
            </w:r>
          </w:p>
          <w:p w14:paraId="1B22C72C" w14:textId="77777777" w:rsidR="002A2C10" w:rsidRPr="002A2C10" w:rsidRDefault="002A2C10" w:rsidP="002A2C10">
            <w:r w:rsidRPr="002A2C10">
              <w:t>We hereby present our explanation on setting off the GST liabilities by using the Input tax credit and Cash payment.</w:t>
            </w:r>
          </w:p>
          <w:p w14:paraId="203F926B" w14:textId="77777777" w:rsidR="002A2C10" w:rsidRPr="002A2C10" w:rsidRDefault="002A2C10" w:rsidP="002A2C10">
            <w:r w:rsidRPr="002A2C10">
              <w:t>The following is the ratio analysis of Cost of Sales for the last four years of the Organization: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19"/>
              <w:gridCol w:w="1691"/>
              <w:gridCol w:w="1722"/>
              <w:gridCol w:w="1676"/>
              <w:gridCol w:w="1676"/>
            </w:tblGrid>
            <w:tr w:rsidR="002A2C10" w:rsidRPr="002A2C10" w14:paraId="3938F14D" w14:textId="77777777">
              <w:tc>
                <w:tcPr>
                  <w:tcW w:w="36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1E0C586" w14:textId="77777777" w:rsidR="002A2C10" w:rsidRPr="002A2C10" w:rsidRDefault="002A2C10" w:rsidP="002A2C10">
                  <w:r w:rsidRPr="002A2C10">
                    <w:rPr>
                      <w:b/>
                      <w:bCs/>
                    </w:rPr>
                    <w:t>Particulars</w:t>
                  </w:r>
                </w:p>
              </w:tc>
              <w:tc>
                <w:tcPr>
                  <w:tcW w:w="16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706776D" w14:textId="77777777" w:rsidR="002A2C10" w:rsidRPr="002A2C10" w:rsidRDefault="002A2C10" w:rsidP="002A2C10">
                  <w:r w:rsidRPr="002A2C10">
                    <w:rPr>
                      <w:b/>
                      <w:bCs/>
                    </w:rPr>
                    <w:t>For the year ended 31.03.2021</w:t>
                  </w:r>
                </w:p>
              </w:tc>
              <w:tc>
                <w:tcPr>
                  <w:tcW w:w="16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E2070F4" w14:textId="77777777" w:rsidR="002A2C10" w:rsidRPr="002A2C10" w:rsidRDefault="002A2C10" w:rsidP="002A2C10">
                  <w:r w:rsidRPr="002A2C10">
                    <w:rPr>
                      <w:b/>
                      <w:bCs/>
                    </w:rPr>
                    <w:t>For the year ended 31.03.2020</w:t>
                  </w:r>
                </w:p>
              </w:tc>
              <w:tc>
                <w:tcPr>
                  <w:tcW w:w="16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D9A311C" w14:textId="77777777" w:rsidR="002A2C10" w:rsidRPr="002A2C10" w:rsidRDefault="002A2C10" w:rsidP="002A2C10">
                  <w:r w:rsidRPr="002A2C10">
                    <w:rPr>
                      <w:b/>
                      <w:bCs/>
                    </w:rPr>
                    <w:t>For the year ended 31.03.2019</w:t>
                  </w:r>
                </w:p>
              </w:tc>
              <w:tc>
                <w:tcPr>
                  <w:tcW w:w="16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F5ACB5F" w14:textId="77777777" w:rsidR="002A2C10" w:rsidRPr="002A2C10" w:rsidRDefault="002A2C10" w:rsidP="002A2C10">
                  <w:r w:rsidRPr="002A2C10">
                    <w:rPr>
                      <w:b/>
                      <w:bCs/>
                    </w:rPr>
                    <w:t>For the year ended 31.03.2018</w:t>
                  </w:r>
                </w:p>
              </w:tc>
            </w:tr>
            <w:tr w:rsidR="002A2C10" w:rsidRPr="002A2C10" w14:paraId="54B6F7A5" w14:textId="77777777">
              <w:tc>
                <w:tcPr>
                  <w:tcW w:w="36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88DDF21" w14:textId="77777777" w:rsidR="002A2C10" w:rsidRPr="002A2C10" w:rsidRDefault="002A2C10" w:rsidP="002A2C10">
                  <w:r w:rsidRPr="002A2C10">
                    <w:t xml:space="preserve">I. Revenue </w:t>
                  </w:r>
                  <w:proofErr w:type="gramStart"/>
                  <w:r w:rsidRPr="002A2C10">
                    <w:t>From</w:t>
                  </w:r>
                  <w:proofErr w:type="gramEnd"/>
                  <w:r w:rsidRPr="002A2C10">
                    <w:t xml:space="preserve"> Operations (Gross)</w:t>
                  </w:r>
                </w:p>
              </w:tc>
              <w:tc>
                <w:tcPr>
                  <w:tcW w:w="16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5B5CBC1" w14:textId="77777777" w:rsidR="002A2C10" w:rsidRPr="002A2C10" w:rsidRDefault="002A2C10" w:rsidP="002A2C10">
                  <w:r w:rsidRPr="002A2C10">
                    <w:t>……….</w:t>
                  </w:r>
                </w:p>
              </w:tc>
              <w:tc>
                <w:tcPr>
                  <w:tcW w:w="16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A5691FE" w14:textId="77777777" w:rsidR="002A2C10" w:rsidRPr="002A2C10" w:rsidRDefault="002A2C10" w:rsidP="002A2C10">
                  <w:r w:rsidRPr="002A2C10">
                    <w:t>……….</w:t>
                  </w:r>
                </w:p>
              </w:tc>
              <w:tc>
                <w:tcPr>
                  <w:tcW w:w="16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62B7FD0" w14:textId="77777777" w:rsidR="002A2C10" w:rsidRPr="002A2C10" w:rsidRDefault="002A2C10" w:rsidP="002A2C10">
                  <w:r w:rsidRPr="002A2C10">
                    <w:t>……….</w:t>
                  </w:r>
                </w:p>
              </w:tc>
              <w:tc>
                <w:tcPr>
                  <w:tcW w:w="16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DD30D6D" w14:textId="77777777" w:rsidR="002A2C10" w:rsidRPr="002A2C10" w:rsidRDefault="002A2C10" w:rsidP="002A2C10">
                  <w:r w:rsidRPr="002A2C10">
                    <w:t>……….</w:t>
                  </w:r>
                </w:p>
              </w:tc>
            </w:tr>
            <w:tr w:rsidR="002A2C10" w:rsidRPr="002A2C10" w14:paraId="29420A3E" w14:textId="77777777">
              <w:tc>
                <w:tcPr>
                  <w:tcW w:w="36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A476842" w14:textId="77777777" w:rsidR="002A2C10" w:rsidRPr="002A2C10" w:rsidRDefault="002A2C10" w:rsidP="002A2C10">
                  <w:r w:rsidRPr="002A2C10">
                    <w:t>EXPENSES</w:t>
                  </w:r>
                </w:p>
              </w:tc>
              <w:tc>
                <w:tcPr>
                  <w:tcW w:w="16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077745B" w14:textId="77777777" w:rsidR="002A2C10" w:rsidRPr="002A2C10" w:rsidRDefault="002A2C10" w:rsidP="002A2C10">
                  <w:r w:rsidRPr="002A2C10">
                    <w:t> </w:t>
                  </w:r>
                </w:p>
              </w:tc>
              <w:tc>
                <w:tcPr>
                  <w:tcW w:w="16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1B7B2BB" w14:textId="77777777" w:rsidR="002A2C10" w:rsidRPr="002A2C10" w:rsidRDefault="002A2C10" w:rsidP="002A2C10">
                  <w:r w:rsidRPr="002A2C10">
                    <w:t> </w:t>
                  </w:r>
                </w:p>
              </w:tc>
              <w:tc>
                <w:tcPr>
                  <w:tcW w:w="16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F508A85" w14:textId="77777777" w:rsidR="002A2C10" w:rsidRPr="002A2C10" w:rsidRDefault="002A2C10" w:rsidP="002A2C10">
                  <w:r w:rsidRPr="002A2C10">
                    <w:t> </w:t>
                  </w:r>
                </w:p>
              </w:tc>
              <w:tc>
                <w:tcPr>
                  <w:tcW w:w="16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FDF014E" w14:textId="77777777" w:rsidR="002A2C10" w:rsidRPr="002A2C10" w:rsidRDefault="002A2C10" w:rsidP="002A2C10">
                  <w:r w:rsidRPr="002A2C10">
                    <w:t> </w:t>
                  </w:r>
                </w:p>
              </w:tc>
            </w:tr>
            <w:tr w:rsidR="002A2C10" w:rsidRPr="002A2C10" w14:paraId="7FCDB6D4" w14:textId="77777777">
              <w:tc>
                <w:tcPr>
                  <w:tcW w:w="36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58FBE91" w14:textId="77777777" w:rsidR="002A2C10" w:rsidRPr="002A2C10" w:rsidRDefault="002A2C10" w:rsidP="002A2C10">
                  <w:r w:rsidRPr="002A2C10">
                    <w:t>Purchases of Stock-in-trade</w:t>
                  </w:r>
                </w:p>
              </w:tc>
              <w:tc>
                <w:tcPr>
                  <w:tcW w:w="16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68EBCE8" w14:textId="77777777" w:rsidR="002A2C10" w:rsidRPr="002A2C10" w:rsidRDefault="002A2C10" w:rsidP="002A2C10">
                  <w:r w:rsidRPr="002A2C10">
                    <w:t>……….</w:t>
                  </w:r>
                </w:p>
              </w:tc>
              <w:tc>
                <w:tcPr>
                  <w:tcW w:w="16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CF1F044" w14:textId="77777777" w:rsidR="002A2C10" w:rsidRPr="002A2C10" w:rsidRDefault="002A2C10" w:rsidP="002A2C10">
                  <w:r w:rsidRPr="002A2C10">
                    <w:t>……….</w:t>
                  </w:r>
                </w:p>
              </w:tc>
              <w:tc>
                <w:tcPr>
                  <w:tcW w:w="16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89B2E55" w14:textId="77777777" w:rsidR="002A2C10" w:rsidRPr="002A2C10" w:rsidRDefault="002A2C10" w:rsidP="002A2C10">
                  <w:r w:rsidRPr="002A2C10">
                    <w:t>……….</w:t>
                  </w:r>
                </w:p>
              </w:tc>
              <w:tc>
                <w:tcPr>
                  <w:tcW w:w="16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44D2D3F" w14:textId="77777777" w:rsidR="002A2C10" w:rsidRPr="002A2C10" w:rsidRDefault="002A2C10" w:rsidP="002A2C10">
                  <w:r w:rsidRPr="002A2C10">
                    <w:t>……….</w:t>
                  </w:r>
                </w:p>
              </w:tc>
            </w:tr>
            <w:tr w:rsidR="002A2C10" w:rsidRPr="002A2C10" w14:paraId="23E0440A" w14:textId="77777777">
              <w:tc>
                <w:tcPr>
                  <w:tcW w:w="36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1EBE744" w14:textId="77777777" w:rsidR="002A2C10" w:rsidRPr="002A2C10" w:rsidRDefault="002A2C10" w:rsidP="002A2C10">
                  <w:r w:rsidRPr="002A2C10">
                    <w:t xml:space="preserve">Changes in </w:t>
                  </w:r>
                  <w:proofErr w:type="spellStart"/>
                  <w:r w:rsidRPr="002A2C10">
                    <w:t>inventrories</w:t>
                  </w:r>
                  <w:proofErr w:type="spellEnd"/>
                  <w:r w:rsidRPr="002A2C10">
                    <w:t xml:space="preserve"> of Stock-in-trade</w:t>
                  </w:r>
                </w:p>
              </w:tc>
              <w:tc>
                <w:tcPr>
                  <w:tcW w:w="16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213E61C" w14:textId="77777777" w:rsidR="002A2C10" w:rsidRPr="002A2C10" w:rsidRDefault="002A2C10" w:rsidP="002A2C10">
                  <w:r w:rsidRPr="002A2C10">
                    <w:t>……….</w:t>
                  </w:r>
                </w:p>
              </w:tc>
              <w:tc>
                <w:tcPr>
                  <w:tcW w:w="16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06F81CE" w14:textId="77777777" w:rsidR="002A2C10" w:rsidRPr="002A2C10" w:rsidRDefault="002A2C10" w:rsidP="002A2C10">
                  <w:r w:rsidRPr="002A2C10">
                    <w:t>……….</w:t>
                  </w:r>
                </w:p>
              </w:tc>
              <w:tc>
                <w:tcPr>
                  <w:tcW w:w="16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0D3C08A" w14:textId="77777777" w:rsidR="002A2C10" w:rsidRPr="002A2C10" w:rsidRDefault="002A2C10" w:rsidP="002A2C10">
                  <w:r w:rsidRPr="002A2C10">
                    <w:t>……….</w:t>
                  </w:r>
                </w:p>
              </w:tc>
              <w:tc>
                <w:tcPr>
                  <w:tcW w:w="16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68E159E" w14:textId="77777777" w:rsidR="002A2C10" w:rsidRPr="002A2C10" w:rsidRDefault="002A2C10" w:rsidP="002A2C10">
                  <w:r w:rsidRPr="002A2C10">
                    <w:t>……….</w:t>
                  </w:r>
                </w:p>
              </w:tc>
            </w:tr>
            <w:tr w:rsidR="002A2C10" w:rsidRPr="002A2C10" w14:paraId="78964C64" w14:textId="77777777">
              <w:tc>
                <w:tcPr>
                  <w:tcW w:w="36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D9EF950" w14:textId="77777777" w:rsidR="002A2C10" w:rsidRPr="002A2C10" w:rsidRDefault="002A2C10" w:rsidP="002A2C10">
                  <w:r w:rsidRPr="002A2C10">
                    <w:t>Total Cost of Goods Sold (COGS)</w:t>
                  </w:r>
                </w:p>
              </w:tc>
              <w:tc>
                <w:tcPr>
                  <w:tcW w:w="16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6CF6F6C" w14:textId="77777777" w:rsidR="002A2C10" w:rsidRPr="002A2C10" w:rsidRDefault="002A2C10" w:rsidP="002A2C10">
                  <w:r w:rsidRPr="002A2C10">
                    <w:t>……….</w:t>
                  </w:r>
                </w:p>
              </w:tc>
              <w:tc>
                <w:tcPr>
                  <w:tcW w:w="16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EF2315D" w14:textId="77777777" w:rsidR="002A2C10" w:rsidRPr="002A2C10" w:rsidRDefault="002A2C10" w:rsidP="002A2C10">
                  <w:r w:rsidRPr="002A2C10">
                    <w:t>……….</w:t>
                  </w:r>
                </w:p>
              </w:tc>
              <w:tc>
                <w:tcPr>
                  <w:tcW w:w="16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C5CA04B" w14:textId="77777777" w:rsidR="002A2C10" w:rsidRPr="002A2C10" w:rsidRDefault="002A2C10" w:rsidP="002A2C10">
                  <w:r w:rsidRPr="002A2C10">
                    <w:t>……….</w:t>
                  </w:r>
                </w:p>
              </w:tc>
              <w:tc>
                <w:tcPr>
                  <w:tcW w:w="16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87E191D" w14:textId="77777777" w:rsidR="002A2C10" w:rsidRPr="002A2C10" w:rsidRDefault="002A2C10" w:rsidP="002A2C10">
                  <w:r w:rsidRPr="002A2C10">
                    <w:t>……….</w:t>
                  </w:r>
                </w:p>
              </w:tc>
            </w:tr>
            <w:tr w:rsidR="002A2C10" w:rsidRPr="002A2C10" w14:paraId="5E6D2256" w14:textId="77777777">
              <w:tc>
                <w:tcPr>
                  <w:tcW w:w="36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8FD96E2" w14:textId="77777777" w:rsidR="002A2C10" w:rsidRPr="002A2C10" w:rsidRDefault="002A2C10" w:rsidP="002A2C10">
                  <w:r w:rsidRPr="002A2C10">
                    <w:t>COGS as a % of Revenue</w:t>
                  </w:r>
                </w:p>
              </w:tc>
              <w:tc>
                <w:tcPr>
                  <w:tcW w:w="16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3922DFF" w14:textId="77777777" w:rsidR="002A2C10" w:rsidRPr="002A2C10" w:rsidRDefault="002A2C10" w:rsidP="002A2C10">
                  <w:r w:rsidRPr="002A2C10">
                    <w:t>……%</w:t>
                  </w:r>
                </w:p>
              </w:tc>
              <w:tc>
                <w:tcPr>
                  <w:tcW w:w="16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9FB7DEE" w14:textId="77777777" w:rsidR="002A2C10" w:rsidRPr="002A2C10" w:rsidRDefault="002A2C10" w:rsidP="002A2C10">
                  <w:r w:rsidRPr="002A2C10">
                    <w:t>……%</w:t>
                  </w:r>
                </w:p>
              </w:tc>
              <w:tc>
                <w:tcPr>
                  <w:tcW w:w="16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01AFBAF" w14:textId="77777777" w:rsidR="002A2C10" w:rsidRPr="002A2C10" w:rsidRDefault="002A2C10" w:rsidP="002A2C10">
                  <w:r w:rsidRPr="002A2C10">
                    <w:t>……%</w:t>
                  </w:r>
                </w:p>
              </w:tc>
              <w:tc>
                <w:tcPr>
                  <w:tcW w:w="16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6365BD1" w14:textId="77777777" w:rsidR="002A2C10" w:rsidRPr="002A2C10" w:rsidRDefault="002A2C10" w:rsidP="002A2C10">
                  <w:r w:rsidRPr="002A2C10">
                    <w:t>……%</w:t>
                  </w:r>
                </w:p>
              </w:tc>
            </w:tr>
          </w:tbl>
          <w:p w14:paraId="1BCB2D0A" w14:textId="77777777" w:rsidR="002A2C10" w:rsidRPr="002A2C10" w:rsidRDefault="002A2C10" w:rsidP="002A2C10">
            <w:r w:rsidRPr="002A2C10">
              <w:br/>
            </w:r>
          </w:p>
          <w:p w14:paraId="5C8B8C68" w14:textId="77777777" w:rsidR="002A2C10" w:rsidRPr="002A2C10" w:rsidRDefault="002A2C10" w:rsidP="002A2C10">
            <w:r w:rsidRPr="002A2C10">
              <w:lastRenderedPageBreak/>
              <w:t xml:space="preserve">Your </w:t>
            </w:r>
            <w:proofErr w:type="spellStart"/>
            <w:r w:rsidRPr="002A2C10">
              <w:t>honour</w:t>
            </w:r>
            <w:proofErr w:type="spellEnd"/>
            <w:r w:rsidRPr="002A2C10">
              <w:t xml:space="preserve"> may note that we are a trading company and we have COGS ratio sales of around </w:t>
            </w:r>
            <w:proofErr w:type="gramStart"/>
            <w:r w:rsidRPr="002A2C10">
              <w:t>....%</w:t>
            </w:r>
            <w:proofErr w:type="gramEnd"/>
            <w:r w:rsidRPr="002A2C10">
              <w:t xml:space="preserve"> throughout the preceding four years. So, our input utilization ratio is more than </w:t>
            </w:r>
            <w:proofErr w:type="gramStart"/>
            <w:r w:rsidRPr="002A2C10">
              <w:t>.....</w:t>
            </w:r>
            <w:proofErr w:type="gramEnd"/>
            <w:r w:rsidRPr="002A2C10">
              <w:t>% of the total output liability.</w:t>
            </w:r>
          </w:p>
          <w:p w14:paraId="70965F53" w14:textId="77777777" w:rsidR="002A2C10" w:rsidRPr="002A2C10" w:rsidRDefault="002A2C10" w:rsidP="002A2C10">
            <w:r w:rsidRPr="002A2C10">
              <w:t>On the basis of the above, we submit our response on the matter of higher ITC utilization as below:</w:t>
            </w:r>
          </w:p>
          <w:p w14:paraId="53D3E26C" w14:textId="77777777" w:rsidR="002A2C10" w:rsidRPr="002A2C10" w:rsidRDefault="002A2C10" w:rsidP="002A2C10">
            <w:pPr>
              <w:numPr>
                <w:ilvl w:val="0"/>
                <w:numId w:val="1"/>
              </w:numPr>
            </w:pPr>
            <w:r w:rsidRPr="002A2C10">
              <w:t>That we are a trading company and in our line of trading activities, the standard trading margin is very thin.</w:t>
            </w:r>
          </w:p>
          <w:p w14:paraId="02A21909" w14:textId="77777777" w:rsidR="002A2C10" w:rsidRPr="002A2C10" w:rsidRDefault="002A2C10" w:rsidP="002A2C10">
            <w:pPr>
              <w:numPr>
                <w:ilvl w:val="0"/>
                <w:numId w:val="2"/>
              </w:numPr>
            </w:pPr>
            <w:r w:rsidRPr="002A2C10">
              <w:t xml:space="preserve">That during the respective period, our Cost of Sales ratio is more than </w:t>
            </w:r>
            <w:proofErr w:type="gramStart"/>
            <w:r w:rsidRPr="002A2C10">
              <w:t>Ninety-five</w:t>
            </w:r>
            <w:proofErr w:type="gramEnd"/>
            <w:r w:rsidRPr="002A2C10">
              <w:t xml:space="preserve"> per cent.</w:t>
            </w:r>
          </w:p>
          <w:p w14:paraId="1FA732E8" w14:textId="77777777" w:rsidR="002A2C10" w:rsidRPr="002A2C10" w:rsidRDefault="002A2C10" w:rsidP="002A2C10">
            <w:r w:rsidRPr="002A2C10">
              <w:t xml:space="preserve">In view of the above, your </w:t>
            </w:r>
            <w:proofErr w:type="spellStart"/>
            <w:r w:rsidRPr="002A2C10">
              <w:t>honour</w:t>
            </w:r>
            <w:proofErr w:type="spellEnd"/>
            <w:r w:rsidRPr="002A2C10">
              <w:t xml:space="preserve"> it is prayed before you to kindly accept our detailed explanation on the matter of higher ITC utilization from …</w:t>
            </w:r>
            <w:proofErr w:type="gramStart"/>
            <w:r w:rsidRPr="002A2C10">
              <w:t>…..</w:t>
            </w:r>
            <w:proofErr w:type="gramEnd"/>
            <w:r w:rsidRPr="002A2C10">
              <w:t xml:space="preserve"> to ………… and kindly drop the issue.</w:t>
            </w:r>
          </w:p>
          <w:p w14:paraId="6C58B071" w14:textId="77777777" w:rsidR="002A2C10" w:rsidRPr="002A2C10" w:rsidRDefault="002A2C10" w:rsidP="002A2C10">
            <w:r w:rsidRPr="002A2C10">
              <w:t>Thanking You</w:t>
            </w:r>
            <w:r w:rsidRPr="002A2C10">
              <w:br/>
              <w:t>For ……………………….</w:t>
            </w:r>
            <w:r w:rsidRPr="002A2C10">
              <w:br/>
              <w:t xml:space="preserve">Signature of </w:t>
            </w:r>
            <w:proofErr w:type="spellStart"/>
            <w:r w:rsidRPr="002A2C10">
              <w:t>Authorised</w:t>
            </w:r>
            <w:proofErr w:type="spellEnd"/>
            <w:r w:rsidRPr="002A2C10">
              <w:t xml:space="preserve"> Signatory</w:t>
            </w:r>
            <w:r w:rsidRPr="002A2C10">
              <w:br/>
              <w:t>Name – ……………………</w:t>
            </w:r>
            <w:proofErr w:type="gramStart"/>
            <w:r w:rsidRPr="002A2C10">
              <w:t>…..</w:t>
            </w:r>
            <w:proofErr w:type="gramEnd"/>
            <w:r w:rsidRPr="002A2C10">
              <w:br/>
              <w:t>Designation Status - ……………………</w:t>
            </w:r>
            <w:proofErr w:type="gramStart"/>
            <w:r w:rsidRPr="002A2C10">
              <w:t>…..</w:t>
            </w:r>
            <w:proofErr w:type="gramEnd"/>
            <w:r w:rsidRPr="002A2C10">
              <w:br/>
              <w:t>Date -……………….</w:t>
            </w:r>
          </w:p>
        </w:tc>
      </w:tr>
    </w:tbl>
    <w:p w14:paraId="61644FBA"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106310"/>
    <w:multiLevelType w:val="multilevel"/>
    <w:tmpl w:val="2ED0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710035"/>
    <w:multiLevelType w:val="multilevel"/>
    <w:tmpl w:val="4E36C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5791124">
    <w:abstractNumId w:val="0"/>
  </w:num>
  <w:num w:numId="2" w16cid:durableId="2017270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C10"/>
    <w:rsid w:val="00031CAE"/>
    <w:rsid w:val="002A2C10"/>
    <w:rsid w:val="002E1F93"/>
    <w:rsid w:val="00447B58"/>
    <w:rsid w:val="005237F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037A1"/>
  <w15:chartTrackingRefBased/>
  <w15:docId w15:val="{EB817500-4570-4D0F-ADFE-558143499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2C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2C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2C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2C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2C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2C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C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C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C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C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2C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2C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2C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2C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2C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C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C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C10"/>
    <w:rPr>
      <w:rFonts w:eastAsiaTheme="majorEastAsia" w:cstheme="majorBidi"/>
      <w:color w:val="272727" w:themeColor="text1" w:themeTint="D8"/>
    </w:rPr>
  </w:style>
  <w:style w:type="paragraph" w:styleId="Title">
    <w:name w:val="Title"/>
    <w:basedOn w:val="Normal"/>
    <w:next w:val="Normal"/>
    <w:link w:val="TitleChar"/>
    <w:uiPriority w:val="10"/>
    <w:qFormat/>
    <w:rsid w:val="002A2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C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C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C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C10"/>
    <w:pPr>
      <w:spacing w:before="160"/>
      <w:jc w:val="center"/>
    </w:pPr>
    <w:rPr>
      <w:i/>
      <w:iCs/>
      <w:color w:val="404040" w:themeColor="text1" w:themeTint="BF"/>
    </w:rPr>
  </w:style>
  <w:style w:type="character" w:customStyle="1" w:styleId="QuoteChar">
    <w:name w:val="Quote Char"/>
    <w:basedOn w:val="DefaultParagraphFont"/>
    <w:link w:val="Quote"/>
    <w:uiPriority w:val="29"/>
    <w:rsid w:val="002A2C10"/>
    <w:rPr>
      <w:i/>
      <w:iCs/>
      <w:color w:val="404040" w:themeColor="text1" w:themeTint="BF"/>
    </w:rPr>
  </w:style>
  <w:style w:type="paragraph" w:styleId="ListParagraph">
    <w:name w:val="List Paragraph"/>
    <w:basedOn w:val="Normal"/>
    <w:uiPriority w:val="34"/>
    <w:qFormat/>
    <w:rsid w:val="002A2C10"/>
    <w:pPr>
      <w:ind w:left="720"/>
      <w:contextualSpacing/>
    </w:pPr>
  </w:style>
  <w:style w:type="character" w:styleId="IntenseEmphasis">
    <w:name w:val="Intense Emphasis"/>
    <w:basedOn w:val="DefaultParagraphFont"/>
    <w:uiPriority w:val="21"/>
    <w:qFormat/>
    <w:rsid w:val="002A2C10"/>
    <w:rPr>
      <w:i/>
      <w:iCs/>
      <w:color w:val="2F5496" w:themeColor="accent1" w:themeShade="BF"/>
    </w:rPr>
  </w:style>
  <w:style w:type="paragraph" w:styleId="IntenseQuote">
    <w:name w:val="Intense Quote"/>
    <w:basedOn w:val="Normal"/>
    <w:next w:val="Normal"/>
    <w:link w:val="IntenseQuoteChar"/>
    <w:uiPriority w:val="30"/>
    <w:qFormat/>
    <w:rsid w:val="002A2C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2C10"/>
    <w:rPr>
      <w:i/>
      <w:iCs/>
      <w:color w:val="2F5496" w:themeColor="accent1" w:themeShade="BF"/>
    </w:rPr>
  </w:style>
  <w:style w:type="character" w:styleId="IntenseReference">
    <w:name w:val="Intense Reference"/>
    <w:basedOn w:val="DefaultParagraphFont"/>
    <w:uiPriority w:val="32"/>
    <w:qFormat/>
    <w:rsid w:val="002A2C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290</Words>
  <Characters>1655</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2025-10-30T06:35:00Z</dcterms:created>
  <dcterms:modified xsi:type="dcterms:W3CDTF">2025-10-30T06:37:00Z</dcterms:modified>
</cp:coreProperties>
</file>