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1924D9" w:rsidRPr="001924D9" w14:paraId="671C975F" w14:textId="77777777">
        <w:trPr>
          <w:jc w:val="center"/>
        </w:trPr>
        <w:tc>
          <w:tcPr>
            <w:tcW w:w="0" w:type="auto"/>
            <w:shd w:val="clear" w:color="auto" w:fill="FFFFFF"/>
            <w:vAlign w:val="center"/>
            <w:hideMark/>
          </w:tcPr>
          <w:p w14:paraId="28D3F4DA" w14:textId="77777777" w:rsidR="001924D9" w:rsidRPr="001924D9" w:rsidRDefault="001924D9" w:rsidP="001924D9">
            <w:r w:rsidRPr="001924D9">
              <w:rPr>
                <w:b/>
                <w:bCs/>
              </w:rPr>
              <w:t>BEFORE THE ADDITIONAL COMMISSIONER OF STATE TAX (APPEALS),</w:t>
            </w:r>
          </w:p>
          <w:p w14:paraId="666526EF" w14:textId="77777777" w:rsidR="001924D9" w:rsidRPr="001924D9" w:rsidRDefault="001924D9" w:rsidP="001924D9">
            <w:r w:rsidRPr="001924D9">
              <w:rPr>
                <w:b/>
                <w:bCs/>
              </w:rPr>
              <w:t> -------------------------------------------</w:t>
            </w:r>
          </w:p>
          <w:p w14:paraId="51939390" w14:textId="77777777" w:rsidR="001924D9" w:rsidRPr="001924D9" w:rsidRDefault="001924D9" w:rsidP="001924D9">
            <w:r w:rsidRPr="001924D9">
              <w:rPr>
                <w:b/>
                <w:bCs/>
              </w:rPr>
              <w:t>Ref.: M/s. -----------------------------------------------------------------, R.G.</w:t>
            </w:r>
          </w:p>
          <w:p w14:paraId="2590D501" w14:textId="77777777" w:rsidR="001924D9" w:rsidRPr="001924D9" w:rsidRDefault="001924D9" w:rsidP="001924D9">
            <w:r w:rsidRPr="001924D9">
              <w:rPr>
                <w:b/>
                <w:bCs/>
              </w:rPr>
              <w:t>__________________________________________________________</w:t>
            </w:r>
          </w:p>
          <w:p w14:paraId="40484B19" w14:textId="77777777" w:rsidR="001924D9" w:rsidRPr="001924D9" w:rsidRDefault="001924D9" w:rsidP="001924D9">
            <w:r w:rsidRPr="001924D9">
              <w:rPr>
                <w:b/>
                <w:bCs/>
              </w:rPr>
              <w:t> </w:t>
            </w:r>
          </w:p>
          <w:p w14:paraId="3075DFB7" w14:textId="77777777" w:rsidR="001924D9" w:rsidRPr="001924D9" w:rsidRDefault="001924D9" w:rsidP="001924D9">
            <w:r w:rsidRPr="001924D9">
              <w:rPr>
                <w:b/>
                <w:bCs/>
              </w:rPr>
              <w:t> Appeal against Order Reference No---------------------- dated --------------------</w:t>
            </w:r>
          </w:p>
          <w:p w14:paraId="35143CF5" w14:textId="77777777" w:rsidR="001924D9" w:rsidRPr="001924D9" w:rsidRDefault="001924D9" w:rsidP="001924D9">
            <w:r w:rsidRPr="001924D9">
              <w:rPr>
                <w:b/>
                <w:bCs/>
              </w:rPr>
              <w:t>STATEMENT OF FACTS</w:t>
            </w:r>
          </w:p>
          <w:p w14:paraId="647355CC" w14:textId="77777777" w:rsidR="001924D9" w:rsidRPr="001924D9" w:rsidRDefault="001924D9" w:rsidP="001924D9">
            <w:pPr>
              <w:numPr>
                <w:ilvl w:val="0"/>
                <w:numId w:val="1"/>
              </w:numPr>
            </w:pPr>
            <w:r w:rsidRPr="001924D9">
              <w:t>That M/s. ------------------------------------------------------------------------------------ having GSTIN -------------------------------- (herein after called as “the Appellant”) are engaged in renting of immovable property services, storage and warehouse service.</w:t>
            </w:r>
          </w:p>
          <w:p w14:paraId="37AF684C" w14:textId="4C82E46D" w:rsidR="001924D9" w:rsidRPr="001924D9" w:rsidRDefault="001924D9" w:rsidP="001924D9">
            <w:pPr>
              <w:numPr>
                <w:ilvl w:val="0"/>
                <w:numId w:val="1"/>
              </w:numPr>
            </w:pPr>
            <w:r w:rsidRPr="001924D9">
              <w:t>That during the scrutiny of records, it was observed by the department that the Appellant has under declared output tax as “point 1 of Attachment to Form </w:t>
            </w:r>
            <w:r w:rsidRPr="001924D9">
              <w:rPr>
                <w:b/>
                <w:bCs/>
              </w:rPr>
              <w:t>DRC-07</w:t>
            </w:r>
            <w:r w:rsidRPr="001924D9">
              <w:t>”. The said attachment is enclosed herewith as </w:t>
            </w:r>
            <w:r w:rsidRPr="001924D9">
              <w:rPr>
                <w:b/>
                <w:bCs/>
              </w:rPr>
              <w:t>Annexure-A</w:t>
            </w:r>
            <w:r w:rsidRPr="001924D9">
              <w:t>. The appellant has agreed upon to deposit and deposited the said amount along with interest vide Form </w:t>
            </w:r>
            <w:r w:rsidRPr="001924D9">
              <w:rPr>
                <w:b/>
                <w:bCs/>
              </w:rPr>
              <w:t>DRC-03</w:t>
            </w:r>
            <w:r w:rsidRPr="001924D9">
              <w:t> ………. Copy of Form </w:t>
            </w:r>
            <w:r w:rsidRPr="001924D9">
              <w:rPr>
                <w:b/>
                <w:bCs/>
              </w:rPr>
              <w:t>DRC-03</w:t>
            </w:r>
            <w:r w:rsidRPr="001924D9">
              <w:t xml:space="preserve"> evidencing such </w:t>
            </w:r>
            <w:proofErr w:type="spellStart"/>
            <w:r w:rsidRPr="001924D9">
              <w:t>depoit</w:t>
            </w:r>
            <w:proofErr w:type="spellEnd"/>
            <w:r w:rsidRPr="001924D9">
              <w:t xml:space="preserve"> is enclosed herewith as </w:t>
            </w:r>
            <w:r w:rsidRPr="001924D9">
              <w:rPr>
                <w:b/>
                <w:bCs/>
              </w:rPr>
              <w:t>Annexure-B</w:t>
            </w:r>
          </w:p>
          <w:p w14:paraId="5F4108BE" w14:textId="70333585" w:rsidR="001924D9" w:rsidRPr="001924D9" w:rsidRDefault="001924D9" w:rsidP="001924D9">
            <w:pPr>
              <w:numPr>
                <w:ilvl w:val="0"/>
                <w:numId w:val="1"/>
              </w:numPr>
            </w:pPr>
            <w:r w:rsidRPr="001924D9">
              <w:t>That during the scrutiny of records, it was observed by the department that the Appellant has reversed ITC amounting to Rs. ----------------- in </w:t>
            </w:r>
            <w:r w:rsidRPr="001924D9">
              <w:rPr>
                <w:b/>
                <w:bCs/>
              </w:rPr>
              <w:t>GSTR-9</w:t>
            </w:r>
            <w:r w:rsidRPr="001924D9">
              <w:t> as compared to Form </w:t>
            </w:r>
            <w:r w:rsidRPr="001924D9">
              <w:rPr>
                <w:b/>
                <w:bCs/>
              </w:rPr>
              <w:t>GSTR-3B</w:t>
            </w:r>
            <w:r w:rsidRPr="001924D9">
              <w:t> “point 3 of Attachment to Form </w:t>
            </w:r>
            <w:r w:rsidRPr="001924D9">
              <w:rPr>
                <w:b/>
                <w:bCs/>
              </w:rPr>
              <w:t>DRC-07</w:t>
            </w:r>
            <w:r w:rsidRPr="001924D9">
              <w:t>”. The said attachment is enclosed herewith as </w:t>
            </w:r>
            <w:r w:rsidRPr="001924D9">
              <w:rPr>
                <w:b/>
                <w:bCs/>
              </w:rPr>
              <w:t>Annexure-A</w:t>
            </w:r>
            <w:r w:rsidRPr="001924D9">
              <w:t>. The appellant has agreed upon to deposit and deposited the said amount along with interest vide Form </w:t>
            </w:r>
            <w:r w:rsidRPr="001924D9">
              <w:rPr>
                <w:b/>
                <w:bCs/>
              </w:rPr>
              <w:t>DRC-03</w:t>
            </w:r>
            <w:r w:rsidRPr="001924D9">
              <w:t> ………. Copy of Form </w:t>
            </w:r>
            <w:r w:rsidRPr="001924D9">
              <w:rPr>
                <w:b/>
                <w:bCs/>
              </w:rPr>
              <w:t>DRC-03</w:t>
            </w:r>
            <w:r w:rsidRPr="001924D9">
              <w:t xml:space="preserve"> evidencing such </w:t>
            </w:r>
            <w:proofErr w:type="spellStart"/>
            <w:r w:rsidRPr="001924D9">
              <w:t>depoit</w:t>
            </w:r>
            <w:proofErr w:type="spellEnd"/>
            <w:r w:rsidRPr="001924D9">
              <w:t xml:space="preserve"> is enclosed herewith as </w:t>
            </w:r>
            <w:r w:rsidRPr="001924D9">
              <w:rPr>
                <w:b/>
                <w:bCs/>
              </w:rPr>
              <w:t>Annexure-C</w:t>
            </w:r>
          </w:p>
          <w:p w14:paraId="5CF958C2" w14:textId="09A417E7" w:rsidR="001924D9" w:rsidRPr="001924D9" w:rsidRDefault="001924D9" w:rsidP="001924D9">
            <w:pPr>
              <w:numPr>
                <w:ilvl w:val="0"/>
                <w:numId w:val="1"/>
              </w:numPr>
            </w:pPr>
            <w:r w:rsidRPr="001924D9">
              <w:t> That during the scrutiny of records, it was observed by the department that the Appellant have availed excess ITC in </w:t>
            </w:r>
            <w:r w:rsidRPr="001924D9">
              <w:rPr>
                <w:b/>
                <w:bCs/>
              </w:rPr>
              <w:t>GSTR 3B</w:t>
            </w:r>
            <w:r w:rsidRPr="001924D9">
              <w:t> as compared to ITC available in </w:t>
            </w:r>
            <w:r w:rsidRPr="001924D9">
              <w:rPr>
                <w:b/>
                <w:bCs/>
              </w:rPr>
              <w:t>GSTR 2A</w:t>
            </w:r>
            <w:r w:rsidRPr="001924D9">
              <w:t> for Rs. ----------/</w:t>
            </w:r>
            <w:proofErr w:type="gramStart"/>
            <w:r w:rsidRPr="001924D9">
              <w:t>-  during</w:t>
            </w:r>
            <w:proofErr w:type="gramEnd"/>
            <w:r w:rsidRPr="001924D9">
              <w:t xml:space="preserve"> the financial year 2017-18 (CGST Rs. ---------------; SGST Rs. ----------/-) as recorded in Order summary as “point2 of Attachment to Form </w:t>
            </w:r>
            <w:r w:rsidRPr="001924D9">
              <w:rPr>
                <w:b/>
                <w:bCs/>
              </w:rPr>
              <w:t>DRC-07</w:t>
            </w:r>
            <w:r w:rsidRPr="001924D9">
              <w:t>”. The said attachment is enclosed herewith as </w:t>
            </w:r>
            <w:r w:rsidRPr="001924D9">
              <w:rPr>
                <w:b/>
                <w:bCs/>
              </w:rPr>
              <w:t>Annexure-A.</w:t>
            </w:r>
          </w:p>
          <w:p w14:paraId="64CEEE5B" w14:textId="439EF0DD" w:rsidR="001924D9" w:rsidRPr="001924D9" w:rsidRDefault="001924D9" w:rsidP="001924D9">
            <w:pPr>
              <w:numPr>
                <w:ilvl w:val="0"/>
                <w:numId w:val="1"/>
              </w:numPr>
            </w:pPr>
            <w:r w:rsidRPr="001924D9">
              <w:t>That the Learned Audit Authority vide </w:t>
            </w:r>
            <w:r w:rsidRPr="001924D9">
              <w:rPr>
                <w:b/>
                <w:bCs/>
              </w:rPr>
              <w:t>DRC-01</w:t>
            </w:r>
            <w:r w:rsidRPr="001924D9">
              <w:t> REF No. ------------------- dated ----------------- has intimated about this discrepancy. The copy of </w:t>
            </w:r>
            <w:r w:rsidRPr="001924D9">
              <w:rPr>
                <w:b/>
                <w:bCs/>
              </w:rPr>
              <w:t>DRC-01</w:t>
            </w:r>
            <w:r w:rsidRPr="001924D9">
              <w:t> is enclosed herewith as </w:t>
            </w:r>
            <w:r w:rsidRPr="001924D9">
              <w:rPr>
                <w:b/>
                <w:bCs/>
              </w:rPr>
              <w:t>Annexure-D.</w:t>
            </w:r>
            <w:r w:rsidRPr="001924D9">
              <w:t xml:space="preserve"> Based on </w:t>
            </w:r>
            <w:proofErr w:type="gramStart"/>
            <w:r w:rsidRPr="001924D9">
              <w:t>this,</w:t>
            </w:r>
            <w:proofErr w:type="gramEnd"/>
            <w:r w:rsidRPr="001924D9">
              <w:t xml:space="preserve"> the Learned Authority issued a Summary of Order in Form </w:t>
            </w:r>
            <w:r w:rsidRPr="001924D9">
              <w:rPr>
                <w:b/>
                <w:bCs/>
              </w:rPr>
              <w:t>DRC-07</w:t>
            </w:r>
            <w:r w:rsidRPr="001924D9">
              <w:t> having Reference No. -------------------- dated ------------------.  The copy of Summary of Order in Form </w:t>
            </w:r>
            <w:r w:rsidRPr="001924D9">
              <w:rPr>
                <w:b/>
                <w:bCs/>
              </w:rPr>
              <w:t>DRC-07</w:t>
            </w:r>
            <w:r w:rsidRPr="001924D9">
              <w:t> dated ------------- is enclosed herewith as </w:t>
            </w:r>
            <w:r w:rsidRPr="001924D9">
              <w:rPr>
                <w:b/>
                <w:bCs/>
              </w:rPr>
              <w:t>Annexure-E</w:t>
            </w:r>
            <w:r w:rsidRPr="001924D9">
              <w:t>.</w:t>
            </w:r>
          </w:p>
          <w:p w14:paraId="719AF7C4" w14:textId="31DBEE71" w:rsidR="001924D9" w:rsidRPr="001924D9" w:rsidRDefault="001924D9" w:rsidP="001924D9">
            <w:pPr>
              <w:numPr>
                <w:ilvl w:val="0"/>
                <w:numId w:val="1"/>
              </w:numPr>
            </w:pPr>
            <w:r w:rsidRPr="001924D9">
              <w:t>That the Learned Adjudicating Authority (hereinafter referred to as “the Learned AA”) has confirmed the demand vide order in GST </w:t>
            </w:r>
            <w:r w:rsidRPr="001924D9">
              <w:rPr>
                <w:b/>
                <w:bCs/>
              </w:rPr>
              <w:t>DRC-07</w:t>
            </w:r>
            <w:r w:rsidRPr="001924D9">
              <w:t xml:space="preserve"> having Reference No. ----------------- dated ------------. The </w:t>
            </w:r>
            <w:r w:rsidRPr="001924D9">
              <w:lastRenderedPageBreak/>
              <w:t>Learned Authority has confirmed the demand of Rs. -----------/- along with Interest of Rs. ------------/- and penalty of Rs. -------------------------.</w:t>
            </w:r>
          </w:p>
          <w:p w14:paraId="61200AD2" w14:textId="77777777" w:rsidR="001924D9" w:rsidRPr="001924D9" w:rsidRDefault="001924D9" w:rsidP="001924D9">
            <w:r w:rsidRPr="001924D9">
              <w:t xml:space="preserve">Being aggrieved by the impugned order passed by the Deputy Commissioner SGST, State Tax, ----------------------, the Appellant has filed the present appeal before your </w:t>
            </w:r>
            <w:proofErr w:type="spellStart"/>
            <w:r w:rsidRPr="001924D9">
              <w:t>Honour</w:t>
            </w:r>
            <w:proofErr w:type="spellEnd"/>
            <w:r w:rsidRPr="001924D9">
              <w:t>.</w:t>
            </w:r>
          </w:p>
          <w:p w14:paraId="254BF46E" w14:textId="77777777" w:rsidR="001924D9" w:rsidRPr="001924D9" w:rsidRDefault="001924D9" w:rsidP="001924D9">
            <w:r w:rsidRPr="001924D9">
              <w:rPr>
                <w:b/>
                <w:bCs/>
              </w:rPr>
              <w:t>APPELLANT</w:t>
            </w:r>
          </w:p>
          <w:tbl>
            <w:tblPr>
              <w:tblW w:w="5000" w:type="pct"/>
              <w:tblCellMar>
                <w:left w:w="0" w:type="dxa"/>
                <w:right w:w="0" w:type="dxa"/>
              </w:tblCellMar>
              <w:tblLook w:val="04A0" w:firstRow="1" w:lastRow="0" w:firstColumn="1" w:lastColumn="0" w:noHBand="0" w:noVBand="1"/>
            </w:tblPr>
            <w:tblGrid>
              <w:gridCol w:w="3801"/>
              <w:gridCol w:w="6699"/>
            </w:tblGrid>
            <w:tr w:rsidR="001924D9" w:rsidRPr="001924D9" w14:paraId="37C70922" w14:textId="77777777">
              <w:tc>
                <w:tcPr>
                  <w:tcW w:w="0" w:type="auto"/>
                  <w:tcMar>
                    <w:top w:w="75" w:type="dxa"/>
                    <w:left w:w="75" w:type="dxa"/>
                    <w:bottom w:w="75" w:type="dxa"/>
                    <w:right w:w="75" w:type="dxa"/>
                  </w:tcMar>
                  <w:vAlign w:val="center"/>
                  <w:hideMark/>
                </w:tcPr>
                <w:p w14:paraId="6DECE724" w14:textId="77777777" w:rsidR="001924D9" w:rsidRPr="001924D9" w:rsidRDefault="001924D9" w:rsidP="001924D9">
                  <w:r w:rsidRPr="001924D9">
                    <w:rPr>
                      <w:b/>
                      <w:bCs/>
                    </w:rPr>
                    <w:t>Place:  --------------</w:t>
                  </w:r>
                </w:p>
              </w:tc>
              <w:tc>
                <w:tcPr>
                  <w:tcW w:w="0" w:type="auto"/>
                  <w:tcMar>
                    <w:top w:w="75" w:type="dxa"/>
                    <w:left w:w="75" w:type="dxa"/>
                    <w:bottom w:w="75" w:type="dxa"/>
                    <w:right w:w="75" w:type="dxa"/>
                  </w:tcMar>
                  <w:vAlign w:val="center"/>
                  <w:hideMark/>
                </w:tcPr>
                <w:p w14:paraId="346C3F59" w14:textId="77777777" w:rsidR="001924D9" w:rsidRPr="001924D9" w:rsidRDefault="001924D9" w:rsidP="001924D9">
                  <w:r w:rsidRPr="001924D9">
                    <w:rPr>
                      <w:b/>
                      <w:bCs/>
                      <w:i/>
                      <w:iCs/>
                    </w:rPr>
                    <w:t>FOR ---------------------------------- LIMITED</w:t>
                  </w:r>
                </w:p>
              </w:tc>
            </w:tr>
            <w:tr w:rsidR="001924D9" w:rsidRPr="001924D9" w14:paraId="175D004B" w14:textId="77777777">
              <w:tc>
                <w:tcPr>
                  <w:tcW w:w="0" w:type="auto"/>
                  <w:tcMar>
                    <w:top w:w="75" w:type="dxa"/>
                    <w:left w:w="75" w:type="dxa"/>
                    <w:bottom w:w="75" w:type="dxa"/>
                    <w:right w:w="75" w:type="dxa"/>
                  </w:tcMar>
                  <w:vAlign w:val="center"/>
                  <w:hideMark/>
                </w:tcPr>
                <w:p w14:paraId="69B621FC" w14:textId="77777777" w:rsidR="001924D9" w:rsidRPr="001924D9" w:rsidRDefault="001924D9" w:rsidP="001924D9">
                  <w:r w:rsidRPr="001924D9">
                    <w:rPr>
                      <w:b/>
                      <w:bCs/>
                    </w:rPr>
                    <w:t>Date: - -------------------</w:t>
                  </w:r>
                </w:p>
              </w:tc>
              <w:tc>
                <w:tcPr>
                  <w:tcW w:w="0" w:type="auto"/>
                  <w:tcMar>
                    <w:top w:w="75" w:type="dxa"/>
                    <w:left w:w="75" w:type="dxa"/>
                    <w:bottom w:w="75" w:type="dxa"/>
                    <w:right w:w="75" w:type="dxa"/>
                  </w:tcMar>
                  <w:vAlign w:val="center"/>
                  <w:hideMark/>
                </w:tcPr>
                <w:p w14:paraId="0B42A913" w14:textId="77777777" w:rsidR="001924D9" w:rsidRPr="001924D9" w:rsidRDefault="001924D9" w:rsidP="001924D9">
                  <w:r w:rsidRPr="001924D9">
                    <w:rPr>
                      <w:b/>
                      <w:bCs/>
                    </w:rPr>
                    <w:t>Director</w:t>
                  </w:r>
                </w:p>
              </w:tc>
            </w:tr>
          </w:tbl>
          <w:p w14:paraId="65E0EE2C" w14:textId="77777777" w:rsidR="001924D9" w:rsidRPr="001924D9" w:rsidRDefault="001924D9" w:rsidP="001924D9">
            <w:r w:rsidRPr="001924D9">
              <w:rPr>
                <w:b/>
                <w:bCs/>
              </w:rPr>
              <w:t>VERIFICATION</w:t>
            </w:r>
          </w:p>
          <w:p w14:paraId="011DFF48" w14:textId="77777777" w:rsidR="001924D9" w:rsidRPr="001924D9" w:rsidRDefault="001924D9" w:rsidP="001924D9">
            <w:r w:rsidRPr="001924D9">
              <w:rPr>
                <w:b/>
                <w:bCs/>
              </w:rPr>
              <w:t>I, ……………, Director of the Appellants hereinabove, do hereby declare that what is stated above is true to the best of my information and belief.</w:t>
            </w:r>
          </w:p>
          <w:p w14:paraId="76D712D8" w14:textId="77777777" w:rsidR="001924D9" w:rsidRPr="001924D9" w:rsidRDefault="001924D9" w:rsidP="001924D9">
            <w:r w:rsidRPr="001924D9">
              <w:rPr>
                <w:b/>
                <w:bCs/>
              </w:rPr>
              <w:t>Verified today, the ---------------------.</w:t>
            </w:r>
          </w:p>
          <w:p w14:paraId="33FAD052" w14:textId="77777777" w:rsidR="001924D9" w:rsidRPr="001924D9" w:rsidRDefault="001924D9" w:rsidP="001924D9">
            <w:r w:rsidRPr="001924D9">
              <w:rPr>
                <w:b/>
                <w:bCs/>
              </w:rPr>
              <w:t>APPELLANT</w:t>
            </w:r>
          </w:p>
          <w:tbl>
            <w:tblPr>
              <w:tblW w:w="5000" w:type="pct"/>
              <w:tblCellMar>
                <w:left w:w="0" w:type="dxa"/>
                <w:right w:w="0" w:type="dxa"/>
              </w:tblCellMar>
              <w:tblLook w:val="04A0" w:firstRow="1" w:lastRow="0" w:firstColumn="1" w:lastColumn="0" w:noHBand="0" w:noVBand="1"/>
            </w:tblPr>
            <w:tblGrid>
              <w:gridCol w:w="3531"/>
              <w:gridCol w:w="6969"/>
            </w:tblGrid>
            <w:tr w:rsidR="001924D9" w:rsidRPr="001924D9" w14:paraId="5C180839" w14:textId="77777777">
              <w:tc>
                <w:tcPr>
                  <w:tcW w:w="0" w:type="auto"/>
                  <w:tcMar>
                    <w:top w:w="75" w:type="dxa"/>
                    <w:left w:w="75" w:type="dxa"/>
                    <w:bottom w:w="75" w:type="dxa"/>
                    <w:right w:w="75" w:type="dxa"/>
                  </w:tcMar>
                  <w:vAlign w:val="center"/>
                  <w:hideMark/>
                </w:tcPr>
                <w:p w14:paraId="3816B5BA" w14:textId="77777777" w:rsidR="001924D9" w:rsidRPr="001924D9" w:rsidRDefault="001924D9" w:rsidP="001924D9">
                  <w:r w:rsidRPr="001924D9">
                    <w:rPr>
                      <w:b/>
                      <w:bCs/>
                    </w:rPr>
                    <w:t>Place:  --------------</w:t>
                  </w:r>
                </w:p>
              </w:tc>
              <w:tc>
                <w:tcPr>
                  <w:tcW w:w="0" w:type="auto"/>
                  <w:tcMar>
                    <w:top w:w="75" w:type="dxa"/>
                    <w:left w:w="75" w:type="dxa"/>
                    <w:bottom w:w="75" w:type="dxa"/>
                    <w:right w:w="75" w:type="dxa"/>
                  </w:tcMar>
                  <w:vAlign w:val="center"/>
                  <w:hideMark/>
                </w:tcPr>
                <w:p w14:paraId="5A46758A" w14:textId="77777777" w:rsidR="001924D9" w:rsidRPr="001924D9" w:rsidRDefault="001924D9" w:rsidP="001924D9">
                  <w:r w:rsidRPr="001924D9">
                    <w:rPr>
                      <w:b/>
                      <w:bCs/>
                      <w:i/>
                      <w:iCs/>
                    </w:rPr>
                    <w:t>FOR M/S ---------------------------------- LIMITED</w:t>
                  </w:r>
                </w:p>
              </w:tc>
            </w:tr>
            <w:tr w:rsidR="001924D9" w:rsidRPr="001924D9" w14:paraId="59E7CE6F" w14:textId="77777777">
              <w:tc>
                <w:tcPr>
                  <w:tcW w:w="0" w:type="auto"/>
                  <w:tcMar>
                    <w:top w:w="75" w:type="dxa"/>
                    <w:left w:w="75" w:type="dxa"/>
                    <w:bottom w:w="75" w:type="dxa"/>
                    <w:right w:w="75" w:type="dxa"/>
                  </w:tcMar>
                  <w:vAlign w:val="center"/>
                  <w:hideMark/>
                </w:tcPr>
                <w:p w14:paraId="21004B6D" w14:textId="77777777" w:rsidR="001924D9" w:rsidRPr="001924D9" w:rsidRDefault="001924D9" w:rsidP="001924D9">
                  <w:r w:rsidRPr="001924D9">
                    <w:rPr>
                      <w:b/>
                      <w:bCs/>
                    </w:rPr>
                    <w:t>Date: - -------------------</w:t>
                  </w:r>
                </w:p>
              </w:tc>
              <w:tc>
                <w:tcPr>
                  <w:tcW w:w="0" w:type="auto"/>
                  <w:tcMar>
                    <w:top w:w="75" w:type="dxa"/>
                    <w:left w:w="75" w:type="dxa"/>
                    <w:bottom w:w="75" w:type="dxa"/>
                    <w:right w:w="75" w:type="dxa"/>
                  </w:tcMar>
                  <w:vAlign w:val="center"/>
                  <w:hideMark/>
                </w:tcPr>
                <w:p w14:paraId="235A4A79" w14:textId="77777777" w:rsidR="001924D9" w:rsidRPr="001924D9" w:rsidRDefault="001924D9" w:rsidP="001924D9">
                  <w:r w:rsidRPr="001924D9">
                    <w:rPr>
                      <w:b/>
                      <w:bCs/>
                    </w:rPr>
                    <w:t>Director</w:t>
                  </w:r>
                </w:p>
              </w:tc>
            </w:tr>
          </w:tbl>
          <w:p w14:paraId="2CE7674B" w14:textId="77777777" w:rsidR="001924D9" w:rsidRPr="001924D9" w:rsidRDefault="001924D9" w:rsidP="001924D9">
            <w:r w:rsidRPr="001924D9">
              <w:br/>
            </w:r>
            <w:r w:rsidRPr="001924D9">
              <w:br/>
            </w:r>
          </w:p>
          <w:p w14:paraId="44728276" w14:textId="77777777" w:rsidR="001924D9" w:rsidRPr="001924D9" w:rsidRDefault="001924D9" w:rsidP="001924D9">
            <w:r w:rsidRPr="001924D9">
              <w:rPr>
                <w:b/>
                <w:bCs/>
              </w:rPr>
              <w:t>BEFORE THE ADDITIONAL COMMISSIONER OF STATE TAX (APPEALS),</w:t>
            </w:r>
          </w:p>
          <w:p w14:paraId="7803B704" w14:textId="77777777" w:rsidR="001924D9" w:rsidRPr="001924D9" w:rsidRDefault="001924D9" w:rsidP="001924D9">
            <w:r w:rsidRPr="001924D9">
              <w:rPr>
                <w:b/>
                <w:bCs/>
              </w:rPr>
              <w:t>-----------------------</w:t>
            </w:r>
          </w:p>
          <w:p w14:paraId="4190FF9A" w14:textId="77777777" w:rsidR="001924D9" w:rsidRPr="001924D9" w:rsidRDefault="001924D9" w:rsidP="001924D9">
            <w:r w:rsidRPr="001924D9">
              <w:rPr>
                <w:b/>
                <w:bCs/>
              </w:rPr>
              <w:t>Ref.: M/s. --------------------------------------------------------------</w:t>
            </w:r>
          </w:p>
          <w:p w14:paraId="72AA8731" w14:textId="77777777" w:rsidR="001924D9" w:rsidRPr="001924D9" w:rsidRDefault="001924D9" w:rsidP="001924D9">
            <w:r w:rsidRPr="001924D9">
              <w:rPr>
                <w:b/>
                <w:bCs/>
              </w:rPr>
              <w:t>Appeal against Order Reference No. ---------------------- dated ------------------</w:t>
            </w:r>
          </w:p>
          <w:p w14:paraId="13115140" w14:textId="77777777" w:rsidR="001924D9" w:rsidRPr="001924D9" w:rsidRDefault="001924D9" w:rsidP="001924D9">
            <w:r w:rsidRPr="001924D9">
              <w:rPr>
                <w:b/>
                <w:bCs/>
              </w:rPr>
              <w:t>GROUNDS OF APPEAL</w:t>
            </w:r>
          </w:p>
          <w:p w14:paraId="1A66ADD6" w14:textId="77777777" w:rsidR="001924D9" w:rsidRPr="001924D9" w:rsidRDefault="001924D9" w:rsidP="001924D9">
            <w:pPr>
              <w:numPr>
                <w:ilvl w:val="0"/>
                <w:numId w:val="2"/>
              </w:numPr>
            </w:pPr>
            <w:r w:rsidRPr="001924D9">
              <w:t>That the order passed by the Deputy Commissioner of State Tax, ----------------------, is against judicial discipline as the same is based on show cause notice issued on -------------------- which is based on assumptions and presumptions. Thus, on this ground alone the Order-in-Original needs to be dropped.</w:t>
            </w:r>
          </w:p>
          <w:p w14:paraId="7027BD50" w14:textId="77777777" w:rsidR="001924D9" w:rsidRPr="001924D9" w:rsidRDefault="001924D9" w:rsidP="001924D9">
            <w:pPr>
              <w:numPr>
                <w:ilvl w:val="0"/>
                <w:numId w:val="2"/>
              </w:numPr>
            </w:pPr>
            <w:r w:rsidRPr="001924D9">
              <w:t>That the order passed by the Respondent is illegal, irrational and without following the principal of natural justice.</w:t>
            </w:r>
          </w:p>
          <w:p w14:paraId="3F968659" w14:textId="77777777" w:rsidR="001924D9" w:rsidRPr="001924D9" w:rsidRDefault="001924D9" w:rsidP="001924D9">
            <w:pPr>
              <w:numPr>
                <w:ilvl w:val="0"/>
                <w:numId w:val="2"/>
              </w:numPr>
            </w:pPr>
            <w:r w:rsidRPr="001924D9">
              <w:t>That the order is passed on extraneous considerations which are not based on the legal proceedings.</w:t>
            </w:r>
          </w:p>
          <w:p w14:paraId="0CACC78C" w14:textId="77777777" w:rsidR="001924D9" w:rsidRPr="001924D9" w:rsidRDefault="001924D9" w:rsidP="001924D9">
            <w:r w:rsidRPr="001924D9">
              <w:rPr>
                <w:b/>
                <w:bCs/>
              </w:rPr>
              <w:t>A. SCN is Void-ab-initio:</w:t>
            </w:r>
          </w:p>
          <w:p w14:paraId="5B6FF6B6" w14:textId="43C4C0E5" w:rsidR="001924D9" w:rsidRPr="001924D9" w:rsidRDefault="001924D9" w:rsidP="001924D9">
            <w:pPr>
              <w:numPr>
                <w:ilvl w:val="0"/>
                <w:numId w:val="3"/>
              </w:numPr>
            </w:pPr>
            <w:r w:rsidRPr="001924D9">
              <w:t>That at the very outset, the Appellant humbly submits that the SCN and impugned OIO has been issued only on the basis of the premises of incomplete findings and presumption that the Appellant has wrongly availed ITC due to mismatch between </w:t>
            </w:r>
            <w:r w:rsidRPr="001924D9">
              <w:rPr>
                <w:b/>
                <w:bCs/>
              </w:rPr>
              <w:t>GSTR-2A</w:t>
            </w:r>
            <w:r w:rsidRPr="001924D9">
              <w:t> and </w:t>
            </w:r>
            <w:r w:rsidRPr="001924D9">
              <w:rPr>
                <w:b/>
                <w:bCs/>
              </w:rPr>
              <w:t>GSTR-3B</w:t>
            </w:r>
            <w:r w:rsidRPr="001924D9">
              <w:t> returns.</w:t>
            </w:r>
          </w:p>
          <w:p w14:paraId="71588E70" w14:textId="77777777" w:rsidR="001924D9" w:rsidRPr="001924D9" w:rsidRDefault="001924D9" w:rsidP="001924D9">
            <w:pPr>
              <w:numPr>
                <w:ilvl w:val="0"/>
                <w:numId w:val="3"/>
              </w:numPr>
            </w:pPr>
            <w:r w:rsidRPr="001924D9">
              <w:t>That the Learned Adjudicating Authority (Learned AA) has passed the impugned order and the show cause notice against the principles of natural justice and therefore, bad in law and needs to be quashed on this ground alone.</w:t>
            </w:r>
          </w:p>
          <w:p w14:paraId="6D5D5539" w14:textId="33F0D516" w:rsidR="001924D9" w:rsidRPr="001924D9" w:rsidRDefault="001924D9" w:rsidP="001924D9">
            <w:r w:rsidRPr="001924D9">
              <w:rPr>
                <w:b/>
                <w:bCs/>
              </w:rPr>
              <w:t>B. The Appellant has correctly availed ITC in terms of Section 16 of the CGST Act, 2017</w:t>
            </w:r>
          </w:p>
          <w:p w14:paraId="309B5356" w14:textId="3FF9BF91" w:rsidR="001924D9" w:rsidRPr="001924D9" w:rsidRDefault="001924D9" w:rsidP="001924D9">
            <w:pPr>
              <w:numPr>
                <w:ilvl w:val="0"/>
                <w:numId w:val="4"/>
              </w:numPr>
            </w:pPr>
            <w:r w:rsidRPr="001924D9">
              <w:t>That the Appellant further submits that they have correctly availed ITC in terms of </w:t>
            </w:r>
            <w:r w:rsidRPr="001924D9">
              <w:rPr>
                <w:b/>
                <w:bCs/>
              </w:rPr>
              <w:t>Section 16</w:t>
            </w:r>
            <w:r w:rsidRPr="001924D9">
              <w:t> of the CGST Act, 2017. The provisions of </w:t>
            </w:r>
            <w:r w:rsidRPr="001924D9">
              <w:rPr>
                <w:b/>
                <w:bCs/>
              </w:rPr>
              <w:t>Section 16</w:t>
            </w:r>
            <w:r w:rsidRPr="001924D9">
              <w:t xml:space="preserve"> of the CGST Act reproduced for the sake of reference as </w:t>
            </w:r>
            <w:proofErr w:type="gramStart"/>
            <w:r w:rsidRPr="001924D9">
              <w:t>under:-</w:t>
            </w:r>
            <w:proofErr w:type="gramEnd"/>
          </w:p>
          <w:p w14:paraId="51D8C5CF" w14:textId="7BAF7A17" w:rsidR="001924D9" w:rsidRPr="001924D9" w:rsidRDefault="001924D9" w:rsidP="001924D9">
            <w:r w:rsidRPr="001924D9">
              <w:rPr>
                <w:b/>
                <w:bCs/>
                <w:i/>
                <w:iCs/>
              </w:rPr>
              <w:t>Section 16. Eligibility and conditions for taking input tax credit.</w:t>
            </w:r>
          </w:p>
          <w:p w14:paraId="04297F8D" w14:textId="774D4AA4" w:rsidR="001924D9" w:rsidRPr="001924D9" w:rsidRDefault="001924D9" w:rsidP="001924D9">
            <w:r w:rsidRPr="001924D9">
              <w:rPr>
                <w:i/>
                <w:iCs/>
              </w:rPr>
              <w:t xml:space="preserve">(1) Every registered person shall, subject to such conditions and restrictions as may be prescribed </w:t>
            </w:r>
            <w:proofErr w:type="gramStart"/>
            <w:r w:rsidRPr="001924D9">
              <w:rPr>
                <w:i/>
                <w:iCs/>
              </w:rPr>
              <w:t>and in the manner</w:t>
            </w:r>
            <w:proofErr w:type="gramEnd"/>
            <w:r w:rsidRPr="001924D9">
              <w:rPr>
                <w:i/>
                <w:iCs/>
              </w:rPr>
              <w:t xml:space="preserve"> specified in </w:t>
            </w:r>
            <w:r w:rsidRPr="001924D9">
              <w:rPr>
                <w:b/>
                <w:bCs/>
                <w:i/>
                <w:iCs/>
              </w:rPr>
              <w:t>section 49</w:t>
            </w:r>
            <w:r w:rsidRPr="001924D9">
              <w:rPr>
                <w:i/>
                <w:iCs/>
              </w:rPr>
              <w:t>, be entitled to take credit of input tax charged on any supply of goods or services or both to him which are used or intended to be used in the course or furtherance of his business and the said amount shall be credited to the electronic credit ledger of such person.</w:t>
            </w:r>
          </w:p>
          <w:p w14:paraId="470F0689" w14:textId="77777777" w:rsidR="001924D9" w:rsidRPr="001924D9" w:rsidRDefault="001924D9" w:rsidP="001924D9">
            <w:r w:rsidRPr="001924D9">
              <w:rPr>
                <w:b/>
                <w:bCs/>
              </w:rPr>
              <w:t>(2) </w:t>
            </w:r>
            <w:r w:rsidRPr="001924D9">
              <w:rPr>
                <w:b/>
                <w:bCs/>
                <w:i/>
                <w:iCs/>
              </w:rPr>
              <w:t xml:space="preserve">Notwithstanding anything contained in this section, no registered person shall be entitled to the credit of any input tax in respect of any supply of goods or services or both to him </w:t>
            </w:r>
            <w:proofErr w:type="gramStart"/>
            <w:r w:rsidRPr="001924D9">
              <w:rPr>
                <w:b/>
                <w:bCs/>
                <w:i/>
                <w:iCs/>
              </w:rPr>
              <w:t>unless,––</w:t>
            </w:r>
            <w:proofErr w:type="gramEnd"/>
          </w:p>
          <w:p w14:paraId="267A8618" w14:textId="77777777" w:rsidR="001924D9" w:rsidRPr="001924D9" w:rsidRDefault="001924D9" w:rsidP="001924D9">
            <w:r w:rsidRPr="001924D9">
              <w:rPr>
                <w:i/>
                <w:iCs/>
              </w:rPr>
              <w:t>(a) he is in possession of a tax invoice or debit note issued by a supplier registered under this Act, or such other tax paying documents as may be prescribed;</w:t>
            </w:r>
          </w:p>
          <w:p w14:paraId="457715C5" w14:textId="0A5A8384" w:rsidR="001924D9" w:rsidRPr="001924D9" w:rsidRDefault="001924D9" w:rsidP="001924D9">
            <w:r w:rsidRPr="001924D9">
              <w:rPr>
                <w:i/>
                <w:iCs/>
                <w:vertAlign w:val="superscript"/>
              </w:rPr>
              <w:t>5</w:t>
            </w:r>
            <w:r w:rsidRPr="001924D9">
              <w:rPr>
                <w:i/>
                <w:iCs/>
              </w:rPr>
              <w:t>[(aa) the details of the invoice or debit note referred to in clause (a) has been furnished by the supplier in the statement of outward supplies and such details have been communicated to the recipient of such invoice or debit note in the manner specified under </w:t>
            </w:r>
            <w:r w:rsidRPr="001924D9">
              <w:rPr>
                <w:b/>
                <w:bCs/>
                <w:i/>
                <w:iCs/>
              </w:rPr>
              <w:t>section 37</w:t>
            </w:r>
            <w:r w:rsidRPr="001924D9">
              <w:rPr>
                <w:i/>
                <w:iCs/>
              </w:rPr>
              <w:t>;]</w:t>
            </w:r>
            <w:r w:rsidRPr="001924D9">
              <w:rPr>
                <w:b/>
                <w:bCs/>
                <w:i/>
                <w:iCs/>
              </w:rPr>
              <w:t> Inserted by The Finance Act 2021 (Act No.13 of 2021) dated 28.03.2021 w.e.f. 01.01.2022 by Noti. No.39/2021 (S.No.704) dated 21.12.2021</w:t>
            </w:r>
          </w:p>
          <w:p w14:paraId="048AF23F" w14:textId="77777777" w:rsidR="001924D9" w:rsidRPr="001924D9" w:rsidRDefault="001924D9" w:rsidP="001924D9">
            <w:r w:rsidRPr="001924D9">
              <w:rPr>
                <w:i/>
                <w:iCs/>
              </w:rPr>
              <w:t>(b) he has received the goods or services or both.</w:t>
            </w:r>
          </w:p>
          <w:p w14:paraId="617C1FE5" w14:textId="71D9D072" w:rsidR="001924D9" w:rsidRPr="001924D9" w:rsidRDefault="001924D9" w:rsidP="001924D9">
            <w:r w:rsidRPr="001924D9">
              <w:rPr>
                <w:i/>
                <w:iCs/>
              </w:rPr>
              <w:t>(c) subject to the provisions of </w:t>
            </w:r>
            <w:r w:rsidRPr="001924D9">
              <w:rPr>
                <w:i/>
                <w:iCs/>
                <w:vertAlign w:val="superscript"/>
              </w:rPr>
              <w:t>2</w:t>
            </w:r>
            <w:r w:rsidRPr="001924D9">
              <w:rPr>
                <w:i/>
                <w:iCs/>
              </w:rPr>
              <w:t>[</w:t>
            </w:r>
            <w:r w:rsidRPr="001924D9">
              <w:rPr>
                <w:b/>
                <w:bCs/>
                <w:i/>
                <w:iCs/>
              </w:rPr>
              <w:t>section 41</w:t>
            </w:r>
            <w:r w:rsidRPr="001924D9">
              <w:rPr>
                <w:i/>
                <w:iCs/>
              </w:rPr>
              <w:t> or </w:t>
            </w:r>
            <w:r w:rsidRPr="001924D9">
              <w:rPr>
                <w:b/>
                <w:bCs/>
                <w:i/>
                <w:iCs/>
              </w:rPr>
              <w:t>section 43A</w:t>
            </w:r>
            <w:r w:rsidRPr="001924D9">
              <w:rPr>
                <w:i/>
                <w:iCs/>
              </w:rPr>
              <w:t>], the tax charged in respect of such supply has been actually paid to the Government, either in cash or through utilization of input tax credit admissible in respect of the said supply; and</w:t>
            </w:r>
          </w:p>
          <w:p w14:paraId="71E07931" w14:textId="647953FC" w:rsidR="001924D9" w:rsidRPr="001924D9" w:rsidRDefault="001924D9" w:rsidP="001924D9">
            <w:r w:rsidRPr="001924D9">
              <w:rPr>
                <w:i/>
                <w:iCs/>
              </w:rPr>
              <w:t>(d) he has furnished the return under </w:t>
            </w:r>
            <w:r w:rsidRPr="001924D9">
              <w:rPr>
                <w:b/>
                <w:bCs/>
                <w:i/>
                <w:iCs/>
              </w:rPr>
              <w:t>section 39</w:t>
            </w:r>
            <w:r w:rsidRPr="001924D9">
              <w:rPr>
                <w:i/>
                <w:iCs/>
              </w:rPr>
              <w:t>:</w:t>
            </w:r>
          </w:p>
          <w:p w14:paraId="4B96474F" w14:textId="58800403" w:rsidR="001924D9" w:rsidRPr="001924D9" w:rsidRDefault="001924D9" w:rsidP="001924D9">
            <w:r w:rsidRPr="001924D9">
              <w:t>The Appellant submits that they have received goods/services along with invoices and paid GST to the Suppliers and moreover, all the suppliers have paid GST in respect of supplies made to the Appellant. Thus, the Appellant have fully complied with the provisions of </w:t>
            </w:r>
            <w:r w:rsidRPr="001924D9">
              <w:rPr>
                <w:b/>
                <w:bCs/>
              </w:rPr>
              <w:t>Section 16</w:t>
            </w:r>
            <w:r w:rsidRPr="001924D9">
              <w:t> of the Act and hence correctly availed the ITC under the GST Act.</w:t>
            </w:r>
          </w:p>
          <w:p w14:paraId="5F3A7AF0" w14:textId="548215F1" w:rsidR="001924D9" w:rsidRPr="001924D9" w:rsidRDefault="001924D9" w:rsidP="001924D9">
            <w:pPr>
              <w:numPr>
                <w:ilvl w:val="0"/>
                <w:numId w:val="5"/>
              </w:numPr>
            </w:pPr>
            <w:r w:rsidRPr="001924D9">
              <w:t>As per the decision of Kerala High Court in the case of </w:t>
            </w:r>
            <w:r w:rsidRPr="001924D9">
              <w:rPr>
                <w:b/>
                <w:bCs/>
                <w:i/>
                <w:iCs/>
              </w:rPr>
              <w:t>Anaz Abdul Rahiman Kutty, CVV Trading Company V/s State Tax Officer [2023] (Kerala)</w:t>
            </w:r>
            <w:r w:rsidRPr="001924D9">
              <w:t>, where the Hon’ble High Court set aside the impugned orders to the extent of disallowing the input tax credit and directed the petitioner to appear before the respondent with all the relevant documents to support his claim for the input tax credit.</w:t>
            </w:r>
          </w:p>
          <w:p w14:paraId="618B2FD6" w14:textId="77777777" w:rsidR="001924D9" w:rsidRPr="001924D9" w:rsidRDefault="001924D9" w:rsidP="001924D9">
            <w:r w:rsidRPr="001924D9">
              <w:t>In view of the above the impugned OIO is liable to quashed and set aside.</w:t>
            </w:r>
          </w:p>
          <w:p w14:paraId="33B71F1A" w14:textId="77777777" w:rsidR="001924D9" w:rsidRPr="001924D9" w:rsidRDefault="001924D9" w:rsidP="001924D9">
            <w:r w:rsidRPr="001924D9">
              <w:rPr>
                <w:b/>
                <w:bCs/>
              </w:rPr>
              <w:t>C. Provisions of Rule 36(4) of the CGST Rules, 2017 introduced from 09.10.2019, are not applicable in the present case, since the impugned ITC pertains to FY 2017-18.</w:t>
            </w:r>
          </w:p>
          <w:p w14:paraId="1330F3AD" w14:textId="21299FA4" w:rsidR="001924D9" w:rsidRPr="001924D9" w:rsidRDefault="001924D9" w:rsidP="001924D9">
            <w:pPr>
              <w:numPr>
                <w:ilvl w:val="0"/>
                <w:numId w:val="6"/>
              </w:numPr>
            </w:pPr>
            <w:r w:rsidRPr="001924D9">
              <w:t>That the Appellant, without prejudice to submissions made hereinabove, submits that the Central Goods and Services Tax (Sixth Amendment) Rules, 2019, was amended w.e.f. 09.10.2019 and a new Sub-Rule (4) was introduced under Rule 36 of the CGST Rules, 2017, which provided the matching concept with </w:t>
            </w:r>
            <w:r w:rsidRPr="001924D9">
              <w:rPr>
                <w:b/>
                <w:bCs/>
              </w:rPr>
              <w:t>GSTR-2A</w:t>
            </w:r>
            <w:r w:rsidRPr="001924D9">
              <w:t> and further made a restriction that amount of unmatched credit with </w:t>
            </w:r>
            <w:r w:rsidRPr="001924D9">
              <w:rPr>
                <w:b/>
                <w:bCs/>
              </w:rPr>
              <w:t>GSTR-2A</w:t>
            </w:r>
            <w:r w:rsidRPr="001924D9">
              <w:t> should not exceed to 10% of eligible credit. The relevant provision was introduced vide Notification No. </w:t>
            </w:r>
            <w:r w:rsidRPr="001924D9">
              <w:rPr>
                <w:b/>
                <w:bCs/>
              </w:rPr>
              <w:t>49/2019</w:t>
            </w:r>
            <w:r w:rsidRPr="001924D9">
              <w:t>-Central Tax and amended through Central Goods and Services Tax (Ninth Amendment) Rules, 2019, w.e.f. 01.01.2020 and introduced the Sub-Rule (4) of Rule 36 of Central Goods &amp; Services Tax Rules, 2017. The extract of Rule 36(4) is reproduced below: -</w:t>
            </w:r>
          </w:p>
          <w:p w14:paraId="5800F569" w14:textId="70085E9B" w:rsidR="001924D9" w:rsidRPr="001924D9" w:rsidRDefault="001924D9" w:rsidP="001924D9">
            <w:r w:rsidRPr="001924D9">
              <w:rPr>
                <w:i/>
                <w:iCs/>
              </w:rPr>
              <w:t>"(4) Input Tax Credit to be availed by a registered person in respect of invoices or debit notes, the details of which have not been uploaded by the suppliers under Sub-Section (1) of </w:t>
            </w:r>
            <w:r w:rsidRPr="001924D9">
              <w:rPr>
                <w:b/>
                <w:bCs/>
                <w:i/>
                <w:iCs/>
              </w:rPr>
              <w:t>section 37</w:t>
            </w:r>
            <w:r w:rsidRPr="001924D9">
              <w:rPr>
                <w:i/>
                <w:iCs/>
              </w:rPr>
              <w:t>, shall not exceed 10 per cent of the eligible credit available in respect of invoices or debit notes the details of which have been uploaded by the suppliers under Sub-Section (1) of </w:t>
            </w:r>
            <w:r w:rsidRPr="001924D9">
              <w:rPr>
                <w:b/>
                <w:bCs/>
                <w:i/>
                <w:iCs/>
              </w:rPr>
              <w:t>section 37</w:t>
            </w:r>
            <w:r w:rsidRPr="001924D9">
              <w:rPr>
                <w:i/>
                <w:iCs/>
              </w:rPr>
              <w:t>".</w:t>
            </w:r>
          </w:p>
          <w:p w14:paraId="37D39483" w14:textId="1D90B16B" w:rsidR="001924D9" w:rsidRPr="001924D9" w:rsidRDefault="001924D9" w:rsidP="001924D9">
            <w:pPr>
              <w:numPr>
                <w:ilvl w:val="0"/>
                <w:numId w:val="7"/>
              </w:numPr>
            </w:pPr>
            <w:r w:rsidRPr="001924D9">
              <w:t>That the Appellant places its reliance on the landmark judgment dated 29.05.2019 of the Hon’ble Delhi High Court in the matter of </w:t>
            </w:r>
            <w:r w:rsidRPr="001924D9">
              <w:rPr>
                <w:b/>
                <w:bCs/>
                <w:i/>
                <w:iCs/>
              </w:rPr>
              <w:t>Bharti Telemedia Ltd. Vs Union of India [2019] (Delhi</w:t>
            </w:r>
            <w:proofErr w:type="gramStart"/>
            <w:r w:rsidRPr="001924D9">
              <w:rPr>
                <w:b/>
                <w:bCs/>
                <w:i/>
                <w:iCs/>
              </w:rPr>
              <w:t>),</w:t>
            </w:r>
            <w:r w:rsidRPr="001924D9">
              <w:t>wherein</w:t>
            </w:r>
            <w:proofErr w:type="gramEnd"/>
            <w:r w:rsidRPr="001924D9">
              <w:t xml:space="preserve"> the Hon’ble Court, has issued notice to union of India that ITC should not be restricted just because supplier has not filed his return within prescribed time limit.</w:t>
            </w:r>
          </w:p>
          <w:p w14:paraId="4AF5377C" w14:textId="30C82C44" w:rsidR="001924D9" w:rsidRPr="001924D9" w:rsidRDefault="001924D9" w:rsidP="001924D9">
            <w:pPr>
              <w:numPr>
                <w:ilvl w:val="0"/>
                <w:numId w:val="7"/>
              </w:numPr>
            </w:pPr>
            <w:r w:rsidRPr="001924D9">
              <w:t>That the Appellant submits that from the above submission, it is amply clear that the mismatch concept/ difference in ITC due to variation in </w:t>
            </w:r>
            <w:r w:rsidRPr="001924D9">
              <w:rPr>
                <w:b/>
                <w:bCs/>
              </w:rPr>
              <w:t>GSTR-2A</w:t>
            </w:r>
            <w:r w:rsidRPr="001924D9">
              <w:t> and </w:t>
            </w:r>
            <w:r w:rsidRPr="001924D9">
              <w:rPr>
                <w:b/>
                <w:bCs/>
              </w:rPr>
              <w:t>GSTR-3B</w:t>
            </w:r>
            <w:r w:rsidRPr="001924D9">
              <w:t> was introduced through the Sub-Rule (4) of Rule 36 of Central Goods &amp; Services Tax Rules, 2017 on 9th October, 2019. Therefore, it is clear that prior to 9th October, 2019, no such provisions of matching of </w:t>
            </w:r>
            <w:r w:rsidRPr="001924D9">
              <w:rPr>
                <w:b/>
                <w:bCs/>
              </w:rPr>
              <w:t>GSTR 2A</w:t>
            </w:r>
            <w:r w:rsidRPr="001924D9">
              <w:t> with </w:t>
            </w:r>
            <w:r w:rsidRPr="001924D9">
              <w:rPr>
                <w:b/>
                <w:bCs/>
              </w:rPr>
              <w:t>GSTR 3B</w:t>
            </w:r>
            <w:r w:rsidRPr="001924D9">
              <w:t> were in existence. The Appellant submit that impugned SCN and consequent OIO pertains to the FY 2017-18 i.e. much prior to 09.10.2019, therefore, the provisions of matching of ITC with </w:t>
            </w:r>
            <w:r w:rsidRPr="001924D9">
              <w:rPr>
                <w:b/>
                <w:bCs/>
              </w:rPr>
              <w:t>GSTR-2A</w:t>
            </w:r>
            <w:r w:rsidRPr="001924D9">
              <w:t> are not applicable in the present case.</w:t>
            </w:r>
          </w:p>
          <w:p w14:paraId="3C5E7E58" w14:textId="36A0A3FF" w:rsidR="001924D9" w:rsidRPr="001924D9" w:rsidRDefault="001924D9" w:rsidP="001924D9">
            <w:r w:rsidRPr="001924D9">
              <w:rPr>
                <w:b/>
                <w:bCs/>
              </w:rPr>
              <w:t xml:space="preserve">D. Form GSTR-2A was introduced vide Notification No. 79/2020-Central Tax dated 15.10.2020 </w:t>
            </w:r>
            <w:proofErr w:type="spellStart"/>
            <w:proofErr w:type="gramStart"/>
            <w:r w:rsidRPr="001924D9">
              <w:rPr>
                <w:b/>
                <w:bCs/>
              </w:rPr>
              <w:t>i.e</w:t>
            </w:r>
            <w:proofErr w:type="spellEnd"/>
            <w:proofErr w:type="gramEnd"/>
            <w:r w:rsidRPr="001924D9">
              <w:rPr>
                <w:b/>
                <w:bCs/>
              </w:rPr>
              <w:t xml:space="preserve"> after the alleged wrongly availed ITC pertaining to the period 2017-18.</w:t>
            </w:r>
          </w:p>
          <w:p w14:paraId="1021B7D5" w14:textId="0089278C" w:rsidR="001924D9" w:rsidRPr="001924D9" w:rsidRDefault="001924D9" w:rsidP="001924D9">
            <w:pPr>
              <w:numPr>
                <w:ilvl w:val="0"/>
                <w:numId w:val="8"/>
              </w:numPr>
            </w:pPr>
            <w:r w:rsidRPr="001924D9">
              <w:t>That the Appellant submits that </w:t>
            </w:r>
            <w:r w:rsidRPr="001924D9">
              <w:rPr>
                <w:b/>
                <w:bCs/>
              </w:rPr>
              <w:t>GSTR 2A</w:t>
            </w:r>
            <w:r w:rsidRPr="001924D9">
              <w:t> is a static Form, which is Auto-Drafted Input Tax Credit (ITC) Statement generated for every recipient, on the basis of the information furnished by their suppliers. Further, the said </w:t>
            </w:r>
            <w:r w:rsidRPr="001924D9">
              <w:rPr>
                <w:b/>
                <w:bCs/>
              </w:rPr>
              <w:t>GSTR-2A</w:t>
            </w:r>
            <w:r w:rsidRPr="001924D9">
              <w:t> return was incorporated through the Notification No. </w:t>
            </w:r>
            <w:r w:rsidRPr="001924D9">
              <w:rPr>
                <w:b/>
                <w:bCs/>
              </w:rPr>
              <w:t>79/2020</w:t>
            </w:r>
            <w:r w:rsidRPr="001924D9">
              <w:t>-Central Tax, dated 15th October, 2020, which clearly proves that for the period prior to 15th October, 2020 the </w:t>
            </w:r>
            <w:r w:rsidRPr="001924D9">
              <w:rPr>
                <w:b/>
                <w:bCs/>
              </w:rPr>
              <w:t>GSTR-2A</w:t>
            </w:r>
            <w:r w:rsidRPr="001924D9">
              <w:t> is not a valid return.</w:t>
            </w:r>
          </w:p>
          <w:p w14:paraId="78963341" w14:textId="6009DF0B" w:rsidR="001924D9" w:rsidRPr="001924D9" w:rsidRDefault="001924D9" w:rsidP="001924D9">
            <w:pPr>
              <w:numPr>
                <w:ilvl w:val="0"/>
                <w:numId w:val="8"/>
              </w:numPr>
            </w:pPr>
            <w:r w:rsidRPr="001924D9">
              <w:t>That the Appellant submits that the impugned SCN and consequent OIO pertains to the FY 2017-18 i.e. much prior to 15.10.2020, therefore, the details contained in </w:t>
            </w:r>
            <w:r w:rsidRPr="001924D9">
              <w:rPr>
                <w:b/>
                <w:bCs/>
              </w:rPr>
              <w:t>GSTR 2A</w:t>
            </w:r>
            <w:r w:rsidRPr="001924D9">
              <w:t> is not applicable in the present case. Further, it is also important to mention that the </w:t>
            </w:r>
            <w:r w:rsidRPr="001924D9">
              <w:rPr>
                <w:b/>
                <w:bCs/>
              </w:rPr>
              <w:t>GSTR-2A</w:t>
            </w:r>
            <w:r w:rsidRPr="001924D9">
              <w:t> is Auto-Drafted Input Tax Credit (ITC) Statement generated, on the basis of the information furnished by their suppliers, in their respective form </w:t>
            </w:r>
            <w:r w:rsidRPr="001924D9">
              <w:rPr>
                <w:b/>
                <w:bCs/>
              </w:rPr>
              <w:t>GSTR-1</w:t>
            </w:r>
            <w:r w:rsidRPr="001924D9">
              <w:t>. So, the generation of the </w:t>
            </w:r>
            <w:r w:rsidRPr="001924D9">
              <w:rPr>
                <w:b/>
                <w:bCs/>
              </w:rPr>
              <w:t>GSTR-2A</w:t>
            </w:r>
            <w:r w:rsidRPr="001924D9">
              <w:t> is totally dependent on the </w:t>
            </w:r>
            <w:r w:rsidRPr="001924D9">
              <w:rPr>
                <w:b/>
                <w:bCs/>
              </w:rPr>
              <w:t>GSTR-1</w:t>
            </w:r>
            <w:r w:rsidRPr="001924D9">
              <w:t>, where as in Form </w:t>
            </w:r>
            <w:r w:rsidRPr="001924D9">
              <w:rPr>
                <w:b/>
                <w:bCs/>
              </w:rPr>
              <w:t>GSTR-1</w:t>
            </w:r>
            <w:r w:rsidRPr="001924D9">
              <w:t> there is no provision for making the payment of tax.</w:t>
            </w:r>
            <w:r w:rsidRPr="001924D9">
              <w:br/>
            </w:r>
            <w:r w:rsidRPr="001924D9">
              <w:br/>
              <w:t>On this ground alone the impugned OIO is liable to be set aside and quashed.</w:t>
            </w:r>
          </w:p>
          <w:p w14:paraId="35392C64" w14:textId="45288BD2" w:rsidR="001924D9" w:rsidRPr="001924D9" w:rsidRDefault="001924D9" w:rsidP="001924D9">
            <w:r w:rsidRPr="001924D9">
              <w:rPr>
                <w:b/>
                <w:bCs/>
              </w:rPr>
              <w:t>E. There is no direct co-relation between payment of tax by the supplier as required under section 16(2)(c) of CGST Act, 2017 and reflection of Invoice in GSTR-2A.</w:t>
            </w:r>
          </w:p>
          <w:p w14:paraId="6D68C1D5" w14:textId="2279204A" w:rsidR="001924D9" w:rsidRPr="001924D9" w:rsidRDefault="001924D9" w:rsidP="001924D9">
            <w:pPr>
              <w:numPr>
                <w:ilvl w:val="0"/>
                <w:numId w:val="9"/>
              </w:numPr>
            </w:pPr>
            <w:r w:rsidRPr="001924D9">
              <w:t>That the Appellant submits that Learned SCN issuing Authority has erred in his observations that the Appellant has wrongly availed ITC due to mismatch between </w:t>
            </w:r>
            <w:r w:rsidRPr="001924D9">
              <w:rPr>
                <w:b/>
                <w:bCs/>
              </w:rPr>
              <w:t>GSTR-2A</w:t>
            </w:r>
            <w:r w:rsidRPr="001924D9">
              <w:t> and </w:t>
            </w:r>
            <w:r w:rsidRPr="001924D9">
              <w:rPr>
                <w:b/>
                <w:bCs/>
              </w:rPr>
              <w:t>GSTR-3B</w:t>
            </w:r>
            <w:r w:rsidRPr="001924D9">
              <w:t> returns. The Appellant submits that in terms of provisions of </w:t>
            </w:r>
            <w:r w:rsidRPr="001924D9">
              <w:rPr>
                <w:b/>
                <w:bCs/>
              </w:rPr>
              <w:t>Section 16(2)</w:t>
            </w:r>
            <w:r w:rsidRPr="001924D9">
              <w:t> of the Act, there is no direct correlation between payment of tax by the supplier as required under </w:t>
            </w:r>
            <w:r w:rsidRPr="001924D9">
              <w:rPr>
                <w:b/>
                <w:bCs/>
              </w:rPr>
              <w:t>section 16(2)(c)</w:t>
            </w:r>
            <w:r w:rsidRPr="001924D9">
              <w:t> of CGST Act, 2017 and reflection of Invoice in </w:t>
            </w:r>
            <w:r w:rsidRPr="001924D9">
              <w:rPr>
                <w:b/>
                <w:bCs/>
              </w:rPr>
              <w:t>GSTR-2A</w:t>
            </w:r>
            <w:r w:rsidRPr="001924D9">
              <w:t>. The Appellant submits that sometimes the Supplier mentions invoice wrongly under B2C and pays tax that means payment has been made to govt. but then the same is not shown under </w:t>
            </w:r>
            <w:r w:rsidRPr="001924D9">
              <w:rPr>
                <w:b/>
                <w:bCs/>
              </w:rPr>
              <w:t>GSTR-2A</w:t>
            </w:r>
            <w:r w:rsidRPr="001924D9">
              <w:t>. Moreover, sometimes the supplier mentions wrong GSTIN number and accordingly the same is not reflected in </w:t>
            </w:r>
            <w:r w:rsidRPr="001924D9">
              <w:rPr>
                <w:b/>
                <w:bCs/>
              </w:rPr>
              <w:t>GSTR-2A</w:t>
            </w:r>
            <w:r w:rsidRPr="001924D9">
              <w:t xml:space="preserve"> of the </w:t>
            </w:r>
            <w:proofErr w:type="spellStart"/>
            <w:r w:rsidRPr="001924D9">
              <w:t>Assessee</w:t>
            </w:r>
            <w:proofErr w:type="spellEnd"/>
            <w:r w:rsidRPr="001924D9">
              <w:t>. The Appellant therefore, submits that there could be various reasons for not reflecting the invoices in </w:t>
            </w:r>
            <w:r w:rsidRPr="001924D9">
              <w:rPr>
                <w:b/>
                <w:bCs/>
              </w:rPr>
              <w:t>GSTR-2A</w:t>
            </w:r>
            <w:r w:rsidRPr="001924D9">
              <w:t> but the same does not mean that the supplier has not paid tax. Thus, there is no correlation between the payment of GST by the supplier and reflection of such invoice in </w:t>
            </w:r>
            <w:r w:rsidRPr="001924D9">
              <w:rPr>
                <w:b/>
                <w:bCs/>
              </w:rPr>
              <w:t>GSTR-2A</w:t>
            </w:r>
            <w:r w:rsidRPr="001924D9">
              <w:t>.</w:t>
            </w:r>
          </w:p>
          <w:p w14:paraId="66E0E97C" w14:textId="28149411" w:rsidR="001924D9" w:rsidRPr="001924D9" w:rsidRDefault="001924D9" w:rsidP="001924D9">
            <w:r w:rsidRPr="001924D9">
              <w:rPr>
                <w:b/>
                <w:bCs/>
              </w:rPr>
              <w:t>F. No consideration taken for Circular No. 183/15/2022-GST dated 27th December, 2022</w:t>
            </w:r>
          </w:p>
          <w:p w14:paraId="5D6A2378" w14:textId="42A695C1" w:rsidR="001924D9" w:rsidRPr="001924D9" w:rsidRDefault="001924D9" w:rsidP="001924D9">
            <w:pPr>
              <w:numPr>
                <w:ilvl w:val="0"/>
                <w:numId w:val="10"/>
              </w:numPr>
            </w:pPr>
            <w:r w:rsidRPr="001924D9">
              <w:t>On merits, it is submitted that the respondent authorities have failed to take into consideration </w:t>
            </w:r>
            <w:r w:rsidRPr="001924D9">
              <w:rPr>
                <w:b/>
                <w:bCs/>
                <w:i/>
                <w:iCs/>
              </w:rPr>
              <w:t>Circular No. 183/15/2022-GST dated 27th December, 2022</w:t>
            </w:r>
            <w:r w:rsidRPr="001924D9">
              <w:t> whereby certain clarifications issued on the respondent authorities have not been followed. The appellant submits that this was initial stage of implementation of the GST provisions. The Central Board of Indirect Taxes and Customs considered these difficulties and issued Circular No. </w:t>
            </w:r>
            <w:r w:rsidRPr="001924D9">
              <w:rPr>
                <w:b/>
                <w:bCs/>
              </w:rPr>
              <w:t>183/15/2022</w:t>
            </w:r>
            <w:r w:rsidRPr="001924D9">
              <w:t>-GST dated 27.12.2022 giving relaxation to the dealers in respect of the financial years 2017-18 and 2018-19. Therefore, on this ground alone the impugned OIO is liable to set aside and quashed as our case squarely falls within the parameters as detailed in the said Circular. Copy of the said circular is attached as </w:t>
            </w:r>
            <w:r w:rsidRPr="001924D9">
              <w:rPr>
                <w:b/>
                <w:bCs/>
              </w:rPr>
              <w:t>Annexure F.</w:t>
            </w:r>
          </w:p>
          <w:p w14:paraId="4BDFA23D" w14:textId="52F31ACE" w:rsidR="001924D9" w:rsidRPr="001924D9" w:rsidRDefault="001924D9" w:rsidP="001924D9">
            <w:pPr>
              <w:numPr>
                <w:ilvl w:val="0"/>
                <w:numId w:val="10"/>
              </w:numPr>
            </w:pPr>
            <w:r w:rsidRPr="001924D9">
              <w:t>As per the judgement of Kerala High Court in the case of </w:t>
            </w:r>
            <w:r w:rsidRPr="001924D9">
              <w:rPr>
                <w:b/>
                <w:bCs/>
                <w:i/>
                <w:iCs/>
              </w:rPr>
              <w:t>Kochi medicals V/s State Tax Officer, Joint Commissioner, (Appeals) [2024] (Kerala),</w:t>
            </w:r>
            <w:r w:rsidRPr="001924D9">
              <w:t> where it was held that-</w:t>
            </w:r>
          </w:p>
          <w:p w14:paraId="5D5FCA5C" w14:textId="390E52F9" w:rsidR="001924D9" w:rsidRPr="001924D9" w:rsidRDefault="001924D9" w:rsidP="001924D9">
            <w:r w:rsidRPr="001924D9">
              <w:rPr>
                <w:i/>
                <w:iCs/>
              </w:rPr>
              <w:t>The Hon’ble High Court set aside the impugned orders and remitted the matter back to the assessing authority to consider the case of the petitioner afresh in the light of the Circular No. </w:t>
            </w:r>
            <w:r w:rsidRPr="001924D9">
              <w:rPr>
                <w:b/>
                <w:bCs/>
                <w:i/>
                <w:iCs/>
              </w:rPr>
              <w:t>183/15/2022</w:t>
            </w:r>
            <w:r w:rsidRPr="001924D9">
              <w:rPr>
                <w:i/>
                <w:iCs/>
              </w:rPr>
              <w:t>-GST dated 27.12.2022.</w:t>
            </w:r>
          </w:p>
          <w:p w14:paraId="3EE32136" w14:textId="0287179D" w:rsidR="001924D9" w:rsidRPr="001924D9" w:rsidRDefault="001924D9" w:rsidP="001924D9">
            <w:pPr>
              <w:numPr>
                <w:ilvl w:val="0"/>
                <w:numId w:val="11"/>
              </w:numPr>
            </w:pPr>
            <w:r w:rsidRPr="001924D9">
              <w:t xml:space="preserve">Since, we are a </w:t>
            </w:r>
            <w:proofErr w:type="gramStart"/>
            <w:r w:rsidRPr="001924D9">
              <w:t>law abiding</w:t>
            </w:r>
            <w:proofErr w:type="gramEnd"/>
            <w:r w:rsidRPr="001924D9">
              <w:t xml:space="preserve"> </w:t>
            </w:r>
            <w:proofErr w:type="spellStart"/>
            <w:r w:rsidRPr="001924D9">
              <w:t>assessee</w:t>
            </w:r>
            <w:proofErr w:type="spellEnd"/>
            <w:r w:rsidRPr="001924D9">
              <w:t xml:space="preserve"> and always comply with the GST Laws, your honor is requested to kindly accept our brief justification in the matter of discrepancies in ITC availed in </w:t>
            </w:r>
            <w:r w:rsidRPr="001924D9">
              <w:rPr>
                <w:b/>
                <w:bCs/>
              </w:rPr>
              <w:t>GSTR-3B</w:t>
            </w:r>
            <w:r w:rsidRPr="001924D9">
              <w:t> and ITC available in </w:t>
            </w:r>
            <w:r w:rsidRPr="001924D9">
              <w:rPr>
                <w:b/>
                <w:bCs/>
              </w:rPr>
              <w:t>GSTR 2A</w:t>
            </w:r>
            <w:r w:rsidRPr="001924D9">
              <w:t>. Copy of purchase bills along with bank statement verifying the payment made for such purchase in respect of which ITC is availed are annexed as </w:t>
            </w:r>
            <w:r w:rsidRPr="001924D9">
              <w:rPr>
                <w:b/>
                <w:bCs/>
              </w:rPr>
              <w:t>Annexure-G.</w:t>
            </w:r>
          </w:p>
          <w:p w14:paraId="2A7DDCC6" w14:textId="790AF946" w:rsidR="001924D9" w:rsidRPr="001924D9" w:rsidRDefault="001924D9" w:rsidP="001924D9">
            <w:pPr>
              <w:numPr>
                <w:ilvl w:val="0"/>
                <w:numId w:val="11"/>
              </w:numPr>
            </w:pPr>
            <w:r w:rsidRPr="001924D9">
              <w:t>The decision of Calcutta High Court in </w:t>
            </w:r>
            <w:proofErr w:type="spellStart"/>
            <w:r w:rsidRPr="001924D9">
              <w:rPr>
                <w:b/>
                <w:bCs/>
                <w:i/>
                <w:iCs/>
              </w:rPr>
              <w:t>Suncraft</w:t>
            </w:r>
            <w:proofErr w:type="spellEnd"/>
            <w:r w:rsidRPr="001924D9">
              <w:rPr>
                <w:b/>
                <w:bCs/>
                <w:i/>
                <w:iCs/>
              </w:rPr>
              <w:t xml:space="preserve"> Energy Private Limited and Another V/s The Assistant Commissioner, State Tax, Ballygunge [2023] (SC), [2023] (Calcutta),</w:t>
            </w:r>
            <w:r w:rsidRPr="001924D9">
              <w:t> which is upheld by Hon’ble Supreme Court of India held that-</w:t>
            </w:r>
          </w:p>
          <w:p w14:paraId="398B6EB3" w14:textId="77777777" w:rsidR="001924D9" w:rsidRPr="001924D9" w:rsidRDefault="001924D9" w:rsidP="001924D9">
            <w:r w:rsidRPr="001924D9">
              <w:rPr>
                <w:i/>
                <w:iCs/>
              </w:rPr>
              <w:t>The assessing authority without resorting to any action against the selling dealer has ignored the tax invoices produced by the appellant as well as the bank statement to substantiate that they have paid the price for the goods and services rendered as well as the tax payable there on, the action of the assessing authority has to be branded as arbitrarily. Therefore, before directing the appellant to reverse the input tax credit and remit the same to the government, the first respondent ought to have taken action against the supplier and unless and until the assessing authority is able to bring out the exceptional case where there has been collusion between the appellant and the supplier or where the supplier is missing or the supplier has closed down its business or the supplier does not have any assets and such other contingencies, straight away the assessing authority was not justified in directing the appellant to reverse the input tax credit availed by them. Therefore, we are of the view that the demand raised on the appellant dated 20.02.2023 is not sustainable.</w:t>
            </w:r>
          </w:p>
          <w:p w14:paraId="3522898B" w14:textId="77777777" w:rsidR="001924D9" w:rsidRPr="001924D9" w:rsidRDefault="001924D9" w:rsidP="001924D9">
            <w:r w:rsidRPr="001924D9">
              <w:t>In view of the above the impugned OIO is liable to quashed and set aside.</w:t>
            </w:r>
          </w:p>
          <w:p w14:paraId="09035C09" w14:textId="77777777" w:rsidR="001924D9" w:rsidRPr="001924D9" w:rsidRDefault="001924D9" w:rsidP="001924D9">
            <w:r w:rsidRPr="001924D9">
              <w:rPr>
                <w:b/>
                <w:bCs/>
              </w:rPr>
              <w:t>G. No investigation has been conducted on the part of supplier as to whether they have paid GST or not.</w:t>
            </w:r>
          </w:p>
          <w:p w14:paraId="60EE8422" w14:textId="3B29771F" w:rsidR="001924D9" w:rsidRPr="001924D9" w:rsidRDefault="001924D9" w:rsidP="001924D9">
            <w:pPr>
              <w:numPr>
                <w:ilvl w:val="0"/>
                <w:numId w:val="12"/>
              </w:numPr>
            </w:pPr>
            <w:r w:rsidRPr="001924D9">
              <w:t>That the Appellant submits that the Learned SCN issuing Authority and Learned AA has simply assumed that the invoices were not being reflected in </w:t>
            </w:r>
            <w:r w:rsidRPr="001924D9">
              <w:rPr>
                <w:b/>
                <w:bCs/>
              </w:rPr>
              <w:t>GSTR 2A</w:t>
            </w:r>
            <w:r w:rsidRPr="001924D9">
              <w:t> and, therefore, the supplier has not paid GST and accordingly, the Appellant is not entitled for ITC. The Appellant submits that the Learned SCN issuing Authority has presumed that the supplier has not paid GST on invoices dispatched to the Appellant but no investigation has been conducted on the part of the suppliers as to whether they have actually paid GST or not on those invoices/supplies, which were delivered to the Appellant. In a case, where the supplier has collected GST from the Appellant but not paid GST to the Government, then it is a serious offence on the part of the suppliers.  But the department has not conducted any investigation on the part of the supplier and on mere assumptions held that since such invoices were not reflected in </w:t>
            </w:r>
            <w:r w:rsidRPr="001924D9">
              <w:rPr>
                <w:b/>
                <w:bCs/>
              </w:rPr>
              <w:t>GSTR-2A</w:t>
            </w:r>
            <w:r w:rsidRPr="001924D9">
              <w:t>, therefore, the Supplier has not paid tax and the Appellant is not entitled for ITC on those invoices.</w:t>
            </w:r>
          </w:p>
          <w:p w14:paraId="394FF567" w14:textId="3509F196" w:rsidR="001924D9" w:rsidRPr="001924D9" w:rsidRDefault="001924D9" w:rsidP="001924D9">
            <w:pPr>
              <w:numPr>
                <w:ilvl w:val="0"/>
                <w:numId w:val="12"/>
              </w:numPr>
            </w:pPr>
            <w:r w:rsidRPr="001924D9">
              <w:t>That the Appellant places its reliance on the landmark judgment dated 24.02.2021 of the Hon’ble Madras High Court in the matter of </w:t>
            </w:r>
            <w:r w:rsidRPr="001924D9">
              <w:rPr>
                <w:b/>
                <w:bCs/>
                <w:i/>
                <w:iCs/>
              </w:rPr>
              <w:t xml:space="preserve">D.Y. </w:t>
            </w:r>
            <w:proofErr w:type="spellStart"/>
            <w:r w:rsidRPr="001924D9">
              <w:rPr>
                <w:b/>
                <w:bCs/>
                <w:i/>
                <w:iCs/>
              </w:rPr>
              <w:t>Beathel</w:t>
            </w:r>
            <w:proofErr w:type="spellEnd"/>
            <w:r w:rsidRPr="001924D9">
              <w:rPr>
                <w:b/>
                <w:bCs/>
                <w:i/>
                <w:iCs/>
              </w:rPr>
              <w:t xml:space="preserve"> Enterprises V/s The State Tax Officer (Data Cell)</w:t>
            </w:r>
            <w:r w:rsidRPr="001924D9">
              <w:rPr>
                <w:i/>
                <w:iCs/>
              </w:rPr>
              <w:t> </w:t>
            </w:r>
            <w:r w:rsidRPr="001924D9">
              <w:rPr>
                <w:b/>
                <w:bCs/>
                <w:i/>
                <w:iCs/>
              </w:rPr>
              <w:t>[2021] (Madras)</w:t>
            </w:r>
            <w:r w:rsidRPr="001924D9">
              <w:t xml:space="preserve">, wherein the Hon’ble Court, while allowing the petition has observed and held in para 11 to 15 as </w:t>
            </w:r>
            <w:proofErr w:type="gramStart"/>
            <w:r w:rsidRPr="001924D9">
              <w:t>under:-</w:t>
            </w:r>
            <w:proofErr w:type="gramEnd"/>
          </w:p>
          <w:p w14:paraId="4B863D38" w14:textId="77777777" w:rsidR="001924D9" w:rsidRPr="001924D9" w:rsidRDefault="001924D9" w:rsidP="001924D9">
            <w:r w:rsidRPr="001924D9">
              <w:rPr>
                <w:i/>
                <w:iCs/>
              </w:rPr>
              <w:t xml:space="preserve">11. It can be seen therefrom that the </w:t>
            </w:r>
            <w:proofErr w:type="spellStart"/>
            <w:r w:rsidRPr="001924D9">
              <w:rPr>
                <w:i/>
                <w:iCs/>
              </w:rPr>
              <w:t>assessee</w:t>
            </w:r>
            <w:proofErr w:type="spellEnd"/>
            <w:r w:rsidRPr="001924D9">
              <w:rPr>
                <w:i/>
                <w:iCs/>
              </w:rPr>
              <w:t xml:space="preserve"> must have received the goods and the tax charged in respect of its supply, must have been actually paid to the Government either in cash or through utilization of input tax credit, admissible in respect of the said supply.</w:t>
            </w:r>
          </w:p>
          <w:p w14:paraId="77E76E26" w14:textId="77777777" w:rsidR="001924D9" w:rsidRPr="001924D9" w:rsidRDefault="001924D9" w:rsidP="001924D9">
            <w:r w:rsidRPr="001924D9">
              <w:rPr>
                <w:i/>
                <w:iCs/>
              </w:rPr>
              <w:t>12. Therefore, if the tax had not reached the kitty of the Government, then the liability may have to be eventually borne by one party, either the seller or the buyer. In the case on hand, the respondent does not appear to have taken any recovery action against the seller / Charles and his wife Shanthi, on the present transactions.</w:t>
            </w:r>
          </w:p>
          <w:p w14:paraId="04799BB9" w14:textId="77777777" w:rsidR="001924D9" w:rsidRPr="001924D9" w:rsidRDefault="001924D9" w:rsidP="001924D9">
            <w:r w:rsidRPr="001924D9">
              <w:rPr>
                <w:i/>
                <w:iCs/>
              </w:rPr>
              <w:t xml:space="preserve">13. The learned counsel for the petitioners draws my attention to the order, dated 27.10.2020, </w:t>
            </w:r>
            <w:proofErr w:type="spellStart"/>
            <w:r w:rsidRPr="001924D9">
              <w:rPr>
                <w:i/>
                <w:iCs/>
              </w:rPr>
              <w:t>finalising</w:t>
            </w:r>
            <w:proofErr w:type="spellEnd"/>
            <w:r w:rsidRPr="001924D9">
              <w:rPr>
                <w:i/>
                <w:iCs/>
              </w:rPr>
              <w:t xml:space="preserve"> the assessment of the seller by excluding the subject transactions alone. I am unable to appreciate the approach of the authorities. When it has come out that the seller has collected tax from the purchasing dealers, the omission on the part of the seller to remit the tax in question must have been viewed very seriously and strict action ought to have been initiated against him.</w:t>
            </w:r>
          </w:p>
          <w:p w14:paraId="4857BBAF" w14:textId="77777777" w:rsidR="001924D9" w:rsidRPr="001924D9" w:rsidRDefault="001924D9" w:rsidP="001924D9">
            <w:r w:rsidRPr="001924D9">
              <w:rPr>
                <w:i/>
                <w:iCs/>
              </w:rPr>
              <w:t>14. That apart in the enquiry in question, the Charles and his Wife ought to have been examined. They should have been confronted. This is all the more necessary, because the respondent has taken a stand that the petitioners have not even received the goods and had availed input tax credits on the strength of generated invoices.</w:t>
            </w:r>
          </w:p>
          <w:p w14:paraId="68C7FA3E" w14:textId="77777777" w:rsidR="001924D9" w:rsidRPr="001924D9" w:rsidRDefault="001924D9" w:rsidP="001924D9">
            <w:r w:rsidRPr="001924D9">
              <w:rPr>
                <w:i/>
                <w:iCs/>
              </w:rPr>
              <w:t xml:space="preserve">15. According to the respondent, there was no movement of the goods. Hence, examination of Charles and his wife </w:t>
            </w:r>
            <w:proofErr w:type="gramStart"/>
            <w:r w:rsidRPr="001924D9">
              <w:rPr>
                <w:i/>
                <w:iCs/>
              </w:rPr>
              <w:t>has</w:t>
            </w:r>
            <w:proofErr w:type="gramEnd"/>
            <w:r w:rsidRPr="001924D9">
              <w:rPr>
                <w:i/>
                <w:iCs/>
              </w:rPr>
              <w:t xml:space="preserve"> become all the more necessary and when the petitioners have insisted on this, I do not understand as to why the respondent did not ensure the presence of Charles and his wife Shanthi, in the enquiry. Thus, the impugned orders </w:t>
            </w:r>
            <w:proofErr w:type="gramStart"/>
            <w:r w:rsidRPr="001924D9">
              <w:rPr>
                <w:i/>
                <w:iCs/>
              </w:rPr>
              <w:t>suffers</w:t>
            </w:r>
            <w:proofErr w:type="gramEnd"/>
            <w:r w:rsidRPr="001924D9">
              <w:rPr>
                <w:i/>
                <w:iCs/>
              </w:rPr>
              <w:t xml:space="preserve"> from certain fundamental flaws. It has to be quashed for more reasons than one.</w:t>
            </w:r>
          </w:p>
          <w:p w14:paraId="5AD81C46" w14:textId="77777777" w:rsidR="001924D9" w:rsidRPr="001924D9" w:rsidRDefault="001924D9" w:rsidP="001924D9">
            <w:r w:rsidRPr="001924D9">
              <w:rPr>
                <w:i/>
                <w:iCs/>
              </w:rPr>
              <w:t>a) Non-examination of Charles in the enquiry</w:t>
            </w:r>
          </w:p>
          <w:p w14:paraId="2FC19E05" w14:textId="77777777" w:rsidR="001924D9" w:rsidRPr="001924D9" w:rsidRDefault="001924D9" w:rsidP="001924D9">
            <w:r w:rsidRPr="001924D9">
              <w:rPr>
                <w:i/>
                <w:iCs/>
              </w:rPr>
              <w:t>b) Non-initiation of recovery action against Charles in the first place</w:t>
            </w:r>
          </w:p>
          <w:p w14:paraId="31D7F192" w14:textId="5985C468" w:rsidR="001924D9" w:rsidRPr="001924D9" w:rsidRDefault="001924D9" w:rsidP="001924D9">
            <w:pPr>
              <w:numPr>
                <w:ilvl w:val="0"/>
                <w:numId w:val="13"/>
              </w:numPr>
            </w:pPr>
            <w:r w:rsidRPr="001924D9">
              <w:t>As per judgment of Supreme Court in case of</w:t>
            </w:r>
            <w:r w:rsidRPr="001924D9">
              <w:rPr>
                <w:i/>
                <w:iCs/>
              </w:rPr>
              <w:t> </w:t>
            </w:r>
            <w:r w:rsidRPr="001924D9">
              <w:rPr>
                <w:b/>
                <w:bCs/>
                <w:i/>
                <w:iCs/>
              </w:rPr>
              <w:t>Arise India Limited, [2018] (SC)</w:t>
            </w:r>
            <w:r w:rsidRPr="001924D9">
              <w:t>, it has been held that, in the event that the selling dealer has failed to deposit the tax collected by him from the purchasing dealer, the remedy for the Department would be to proceed against the defaulting selling dealer to recover such tax and not deny the purchasing dealer the ITC.</w:t>
            </w:r>
          </w:p>
          <w:p w14:paraId="445B3A04" w14:textId="17A3A5FD" w:rsidR="001924D9" w:rsidRPr="001924D9" w:rsidRDefault="001924D9" w:rsidP="001924D9">
            <w:pPr>
              <w:numPr>
                <w:ilvl w:val="0"/>
                <w:numId w:val="13"/>
              </w:numPr>
            </w:pPr>
            <w:r w:rsidRPr="001924D9">
              <w:t>That the Appellant submits that in this case, there is no allegation that goods were not received by the Appellant nor are there any allegations that invoices were not received by the Appellant. The sole allegation is that some of the invoices received by the Appellant were not reflected in </w:t>
            </w:r>
            <w:r w:rsidRPr="001924D9">
              <w:rPr>
                <w:b/>
                <w:bCs/>
              </w:rPr>
              <w:t>GSTR-2A</w:t>
            </w:r>
            <w:r w:rsidRPr="001924D9">
              <w:t>. The Appellant submits that the department before leveling any such allegations that the supplier has not tax on supplies made to the Appellant, has not conducted any investigation, therefore, on this ground alone the impugned OIO is liable to set aside and quashed.</w:t>
            </w:r>
          </w:p>
          <w:p w14:paraId="7ACD8C55" w14:textId="7BCCBD78" w:rsidR="001924D9" w:rsidRPr="001924D9" w:rsidRDefault="001924D9" w:rsidP="001924D9">
            <w:pPr>
              <w:numPr>
                <w:ilvl w:val="0"/>
                <w:numId w:val="13"/>
              </w:numPr>
            </w:pPr>
            <w:r w:rsidRPr="001924D9">
              <w:t>In the case of</w:t>
            </w:r>
            <w:r w:rsidRPr="001924D9">
              <w:rPr>
                <w:i/>
                <w:iCs/>
              </w:rPr>
              <w:t> </w:t>
            </w:r>
            <w:r w:rsidRPr="001924D9">
              <w:rPr>
                <w:b/>
                <w:bCs/>
                <w:i/>
                <w:iCs/>
              </w:rPr>
              <w:t>Henna Medicals V/s State Tax Officers [2023] (Kerala)</w:t>
            </w:r>
            <w:r w:rsidRPr="001924D9">
              <w:t>, it was categorically held that –</w:t>
            </w:r>
          </w:p>
          <w:p w14:paraId="3A8D93C3" w14:textId="796F8996" w:rsidR="001924D9" w:rsidRPr="001924D9" w:rsidRDefault="001924D9" w:rsidP="001924D9">
            <w:r w:rsidRPr="001924D9">
              <w:rPr>
                <w:i/>
                <w:iCs/>
              </w:rPr>
              <w:t>Merely on the ground that in Form </w:t>
            </w:r>
            <w:r w:rsidRPr="001924D9">
              <w:rPr>
                <w:b/>
                <w:bCs/>
                <w:i/>
                <w:iCs/>
              </w:rPr>
              <w:t>GSTR-2A</w:t>
            </w:r>
            <w:r w:rsidRPr="001924D9">
              <w:rPr>
                <w:i/>
                <w:iCs/>
              </w:rPr>
              <w:t xml:space="preserve"> the said tax is not reflected should not be a sufficient ground to deny the </w:t>
            </w:r>
            <w:proofErr w:type="spellStart"/>
            <w:r w:rsidRPr="001924D9">
              <w:rPr>
                <w:i/>
                <w:iCs/>
              </w:rPr>
              <w:t>assessee</w:t>
            </w:r>
            <w:proofErr w:type="spellEnd"/>
            <w:r w:rsidRPr="001924D9">
              <w:rPr>
                <w:i/>
                <w:iCs/>
              </w:rPr>
              <w:t xml:space="preserve"> the claim of the input tax credit. The matter is remitted back to the file of the Assessing Authority/1st respondent to examine the evidence of the petitioner irrespective of the Form </w:t>
            </w:r>
            <w:r w:rsidRPr="001924D9">
              <w:rPr>
                <w:b/>
                <w:bCs/>
                <w:i/>
                <w:iCs/>
              </w:rPr>
              <w:t>GSTR 2A</w:t>
            </w:r>
            <w:r w:rsidRPr="001924D9">
              <w:rPr>
                <w:i/>
                <w:iCs/>
              </w:rPr>
              <w:t> for the petitioner`s claim for the input tax credit. After examination of the evidence placed by the petitioner/</w:t>
            </w:r>
            <w:proofErr w:type="spellStart"/>
            <w:r w:rsidRPr="001924D9">
              <w:rPr>
                <w:i/>
                <w:iCs/>
              </w:rPr>
              <w:t>assessee</w:t>
            </w:r>
            <w:proofErr w:type="spellEnd"/>
            <w:r w:rsidRPr="001924D9">
              <w:rPr>
                <w:i/>
                <w:iCs/>
              </w:rPr>
              <w:t>, the Assessing Authority shall pass fresh orders in accordance with the law.</w:t>
            </w:r>
          </w:p>
          <w:p w14:paraId="646A757B" w14:textId="7A182F24" w:rsidR="001924D9" w:rsidRPr="001924D9" w:rsidRDefault="001924D9" w:rsidP="001924D9">
            <w:r w:rsidRPr="001924D9">
              <w:rPr>
                <w:b/>
                <w:bCs/>
              </w:rPr>
              <w:t>H. No Automatic reversal of Input Tax credit if the invoices are not reflected in the GSTR 2A</w:t>
            </w:r>
          </w:p>
          <w:p w14:paraId="6329E120" w14:textId="3BAD23C2" w:rsidR="001924D9" w:rsidRPr="001924D9" w:rsidRDefault="001924D9" w:rsidP="001924D9">
            <w:pPr>
              <w:numPr>
                <w:ilvl w:val="0"/>
                <w:numId w:val="14"/>
              </w:numPr>
            </w:pPr>
            <w:r w:rsidRPr="001924D9">
              <w:t>That the Appellant humbly submits that the mechanism provided under </w:t>
            </w:r>
            <w:r w:rsidRPr="001924D9">
              <w:rPr>
                <w:b/>
                <w:bCs/>
              </w:rPr>
              <w:t>Section 42</w:t>
            </w:r>
            <w:r w:rsidRPr="001924D9">
              <w:t> of the CGST Act read with rule 69 of the CGST Rules, for matching of ITC is not in effect yet. </w:t>
            </w:r>
            <w:r w:rsidRPr="001924D9">
              <w:rPr>
                <w:b/>
                <w:bCs/>
              </w:rPr>
              <w:t>Section 43A</w:t>
            </w:r>
            <w:r w:rsidRPr="001924D9">
              <w:t> provides for the procedure of availing ITC in a manner prescribed (manner to be provided by rules itself). Rule 36(4) was inserted with effect from 09.10.2019.</w:t>
            </w:r>
          </w:p>
          <w:p w14:paraId="58AE629D" w14:textId="54507B0C" w:rsidR="001924D9" w:rsidRPr="001924D9" w:rsidRDefault="001924D9" w:rsidP="001924D9">
            <w:pPr>
              <w:numPr>
                <w:ilvl w:val="0"/>
                <w:numId w:val="14"/>
              </w:numPr>
            </w:pPr>
            <w:r w:rsidRPr="001924D9">
              <w:t>That the Appellant submits that the Central Board of GST council vide its Press Release dated </w:t>
            </w:r>
            <w:r w:rsidRPr="001924D9">
              <w:rPr>
                <w:b/>
                <w:bCs/>
              </w:rPr>
              <w:t>04.05.2018</w:t>
            </w:r>
            <w:r w:rsidRPr="001924D9">
              <w:t> has also stated that there shall not be any automatic reversal of input tax credit from the buyer on non-</w:t>
            </w:r>
            <w:r w:rsidRPr="001924D9">
              <w:softHyphen/>
              <w:t>payment of tax by the seller. In case of default in payment of tax by the seller, recovery shall be made from the seller. However, reversal of credit from buyer shall also be an option available with the revenue authorities to address exceptional situations like missing dealer, closure of business by the supplier or the supplier not having adequate assets etc. The relevant portion of the Press Release dated </w:t>
            </w:r>
            <w:r w:rsidRPr="001924D9">
              <w:rPr>
                <w:b/>
                <w:bCs/>
              </w:rPr>
              <w:t>04.05.2018</w:t>
            </w:r>
            <w:r w:rsidRPr="001924D9">
              <w:t xml:space="preserve"> is reproduced as </w:t>
            </w:r>
            <w:proofErr w:type="gramStart"/>
            <w:r w:rsidRPr="001924D9">
              <w:t>under:-</w:t>
            </w:r>
            <w:proofErr w:type="gramEnd"/>
          </w:p>
          <w:p w14:paraId="350A00A5" w14:textId="77777777" w:rsidR="001924D9" w:rsidRPr="001924D9" w:rsidRDefault="001924D9" w:rsidP="001924D9">
            <w:r w:rsidRPr="001924D9">
              <w:rPr>
                <w:b/>
                <w:bCs/>
              </w:rPr>
              <w:t>PRESS RELEASE 04th May 2018</w:t>
            </w:r>
          </w:p>
          <w:p w14:paraId="5BC78B16" w14:textId="77777777" w:rsidR="001924D9" w:rsidRPr="001924D9" w:rsidRDefault="001924D9" w:rsidP="001924D9">
            <w:r w:rsidRPr="001924D9">
              <w:rPr>
                <w:i/>
                <w:iCs/>
              </w:rPr>
              <w:t>(</w:t>
            </w:r>
            <w:proofErr w:type="spellStart"/>
            <w:r w:rsidRPr="001924D9">
              <w:rPr>
                <w:i/>
                <w:iCs/>
              </w:rPr>
              <w:t>i</w:t>
            </w:r>
            <w:proofErr w:type="spellEnd"/>
            <w:r w:rsidRPr="001924D9">
              <w:rPr>
                <w:i/>
                <w:iCs/>
              </w:rPr>
              <w:t>) No automatic reversal of credit: There shall not be any automatic reversal of input tax credit from buyer on non-payment of tax by the seller. In case of default in payment of tax by the seller, recovery shall be made from the seller however reversal of credit from buyer shall also be an option available with the revenue authorities to address exceptional situations like missing dealer, closure of business by supplier or supplier not having adequate assets etc.</w:t>
            </w:r>
          </w:p>
          <w:p w14:paraId="112FC055" w14:textId="788D8FD0" w:rsidR="001924D9" w:rsidRPr="001924D9" w:rsidRDefault="001924D9" w:rsidP="001924D9">
            <w:pPr>
              <w:numPr>
                <w:ilvl w:val="0"/>
                <w:numId w:val="15"/>
              </w:numPr>
            </w:pPr>
            <w:r w:rsidRPr="001924D9">
              <w:t>The decision of Tripura High Court in the case of Sahil Enterprises V/s Union of India </w:t>
            </w:r>
            <w:r w:rsidRPr="001924D9">
              <w:rPr>
                <w:b/>
                <w:bCs/>
              </w:rPr>
              <w:t>[2021] (Tripura)</w:t>
            </w:r>
            <w:r w:rsidRPr="001924D9">
              <w:t>, held that,</w:t>
            </w:r>
          </w:p>
          <w:p w14:paraId="6FF24196" w14:textId="77777777" w:rsidR="001924D9" w:rsidRPr="001924D9" w:rsidRDefault="001924D9" w:rsidP="001924D9">
            <w:r w:rsidRPr="001924D9">
              <w:rPr>
                <w:i/>
                <w:iCs/>
              </w:rPr>
              <w:t>the petitioner having paid CGST on the purchases made from a registered dealer, the petitioner thereafter has no control over the seller to ensure that such tax is deposited with the Government revenue as is statutorily is his obligation. Denying to the petitioner input tax credit on such purchases on which the petitioner has already paid tax on the ground that the selling dealer did not deposit the tax with the Government revenue would amount to double taxation.</w:t>
            </w:r>
          </w:p>
          <w:p w14:paraId="3BCB06FC" w14:textId="2B98EEF2" w:rsidR="001924D9" w:rsidRPr="001924D9" w:rsidRDefault="001924D9" w:rsidP="001924D9">
            <w:pPr>
              <w:numPr>
                <w:ilvl w:val="0"/>
                <w:numId w:val="16"/>
              </w:numPr>
            </w:pPr>
            <w:r w:rsidRPr="001924D9">
              <w:t>That the Appellant submits that in the </w:t>
            </w:r>
            <w:r w:rsidRPr="001924D9">
              <w:rPr>
                <w:b/>
                <w:bCs/>
              </w:rPr>
              <w:t>28th GST Council Meeting</w:t>
            </w:r>
            <w:r w:rsidRPr="001924D9">
              <w:t xml:space="preserve"> held on 21st July, 2018, the above statement was confirmed, wherein vide para 18.3 of minutes of the council meeting, it is stated said </w:t>
            </w:r>
            <w:proofErr w:type="gramStart"/>
            <w:r w:rsidRPr="001924D9">
              <w:t>that:-</w:t>
            </w:r>
            <w:proofErr w:type="gramEnd"/>
          </w:p>
          <w:p w14:paraId="76D7D62C" w14:textId="77777777" w:rsidR="001924D9" w:rsidRPr="001924D9" w:rsidRDefault="001924D9" w:rsidP="001924D9">
            <w:r w:rsidRPr="001924D9">
              <w:rPr>
                <w:i/>
                <w:iCs/>
              </w:rPr>
              <w:t>“There would be no automatic reversal of input tax credit at the recipient`s end where tax had not been paid by the supplier. Revenue administration shall first try to recover the tax from the seller and only in some exceptional circumstances like missing dealer, shell companies, closure of business by the supplier, input tax credit shall be recovered from the recipient by following the due process of serving of notice and personal hearing. He stated that though this would be part of IT architecture, in the law there would continue to be a provision making the seller and the buyer jointly and severally responsible for recovery of tax, which was not paid by the supplier but credit of which had been taken by the recipient”</w:t>
            </w:r>
            <w:r w:rsidRPr="001924D9">
              <w:t>.</w:t>
            </w:r>
          </w:p>
          <w:p w14:paraId="51405403" w14:textId="18BA384A" w:rsidR="001924D9" w:rsidRPr="001924D9" w:rsidRDefault="001924D9" w:rsidP="001924D9">
            <w:pPr>
              <w:numPr>
                <w:ilvl w:val="0"/>
                <w:numId w:val="17"/>
              </w:numPr>
            </w:pPr>
            <w:r w:rsidRPr="001924D9">
              <w:t>That the Appellant submits that vide para 4 of the Press release dated </w:t>
            </w:r>
            <w:r w:rsidRPr="001924D9">
              <w:rPr>
                <w:b/>
                <w:bCs/>
              </w:rPr>
              <w:t>18th October, 2018</w:t>
            </w:r>
            <w:r w:rsidRPr="001924D9">
              <w:t>, it has been further clarified that FORM </w:t>
            </w:r>
            <w:r w:rsidRPr="001924D9">
              <w:rPr>
                <w:b/>
                <w:bCs/>
              </w:rPr>
              <w:t>GSTR-2A</w:t>
            </w:r>
            <w:r w:rsidRPr="001924D9">
              <w:t> is in the nature of taxpayer facilitation and does not impact the ability of the taxpayer to avail ITC on self-assessment basis in consonance with the provisions of </w:t>
            </w:r>
            <w:r w:rsidRPr="001924D9">
              <w:rPr>
                <w:b/>
                <w:bCs/>
              </w:rPr>
              <w:t>section 16</w:t>
            </w:r>
            <w:r w:rsidRPr="001924D9">
              <w:t> of the Act. The relevant portion of the Press Release dated </w:t>
            </w:r>
            <w:r w:rsidRPr="001924D9">
              <w:rPr>
                <w:b/>
                <w:bCs/>
              </w:rPr>
              <w:t>04.05.2018</w:t>
            </w:r>
            <w:r w:rsidRPr="001924D9">
              <w:t xml:space="preserve"> is reproduced as </w:t>
            </w:r>
            <w:proofErr w:type="gramStart"/>
            <w:r w:rsidRPr="001924D9">
              <w:t>under:-</w:t>
            </w:r>
            <w:proofErr w:type="gramEnd"/>
          </w:p>
          <w:p w14:paraId="2BE3E503" w14:textId="09256ECD" w:rsidR="001924D9" w:rsidRPr="001924D9" w:rsidRDefault="001924D9" w:rsidP="001924D9">
            <w:r w:rsidRPr="001924D9">
              <w:rPr>
                <w:b/>
                <w:bCs/>
              </w:rPr>
              <w:t>Press Release dated 18.10.2018</w:t>
            </w:r>
          </w:p>
          <w:p w14:paraId="60D56979" w14:textId="6C95AA47" w:rsidR="001924D9" w:rsidRPr="001924D9" w:rsidRDefault="001924D9" w:rsidP="001924D9">
            <w:r w:rsidRPr="001924D9">
              <w:rPr>
                <w:i/>
                <w:iCs/>
              </w:rPr>
              <w:t>4. It is clarified that the furnishing of outward details in FORM </w:t>
            </w:r>
            <w:r w:rsidRPr="001924D9">
              <w:rPr>
                <w:b/>
                <w:bCs/>
                <w:i/>
                <w:iCs/>
              </w:rPr>
              <w:t>GSTR-1</w:t>
            </w:r>
            <w:r w:rsidRPr="001924D9">
              <w:rPr>
                <w:i/>
                <w:iCs/>
              </w:rPr>
              <w:t> by the corresponding supplier(s) and the facility to view the same in FORM </w:t>
            </w:r>
            <w:r w:rsidRPr="001924D9">
              <w:rPr>
                <w:b/>
                <w:bCs/>
                <w:i/>
                <w:iCs/>
              </w:rPr>
              <w:t>GSTR-2A</w:t>
            </w:r>
            <w:r w:rsidRPr="001924D9">
              <w:rPr>
                <w:i/>
                <w:iCs/>
              </w:rPr>
              <w:t> by the recipient is in the nature of taxpayer facilitation and does not impact the ability of the taxpayer to avail ITC on self-assessment basis in consonance with the provisions of </w:t>
            </w:r>
            <w:r w:rsidRPr="001924D9">
              <w:rPr>
                <w:b/>
                <w:bCs/>
                <w:i/>
                <w:iCs/>
              </w:rPr>
              <w:t>section 16</w:t>
            </w:r>
            <w:r w:rsidRPr="001924D9">
              <w:rPr>
                <w:i/>
                <w:iCs/>
              </w:rPr>
              <w:t> of the Act.</w:t>
            </w:r>
          </w:p>
          <w:p w14:paraId="763C2870" w14:textId="5C4969B5" w:rsidR="001924D9" w:rsidRPr="001924D9" w:rsidRDefault="001924D9" w:rsidP="001924D9">
            <w:pPr>
              <w:numPr>
                <w:ilvl w:val="0"/>
                <w:numId w:val="18"/>
              </w:numPr>
            </w:pPr>
            <w:r w:rsidRPr="001924D9">
              <w:t>That the Appellant submits that from the above observations of GST council and Press Release issued by the Government, it is clear that there is no intention of the Government to recover the Input Tax Credit automatically, when the invoices are not reflected in </w:t>
            </w:r>
            <w:r w:rsidRPr="001924D9">
              <w:rPr>
                <w:b/>
                <w:bCs/>
              </w:rPr>
              <w:t>GSTR 2A</w:t>
            </w:r>
            <w:r w:rsidRPr="001924D9">
              <w:t> of the recipient. Moreover, in case of default of payment of Tax by the supplier, recovery shall be made from the seller.</w:t>
            </w:r>
          </w:p>
          <w:p w14:paraId="7CE83696" w14:textId="3971E1B1" w:rsidR="001924D9" w:rsidRPr="001924D9" w:rsidRDefault="001924D9" w:rsidP="001924D9">
            <w:pPr>
              <w:numPr>
                <w:ilvl w:val="0"/>
                <w:numId w:val="18"/>
              </w:numPr>
            </w:pPr>
            <w:r w:rsidRPr="001924D9">
              <w:t>That the Appellant submits that the impugned OIO for recovery of ITC due to mismatch between </w:t>
            </w:r>
            <w:r w:rsidRPr="001924D9">
              <w:rPr>
                <w:b/>
                <w:bCs/>
              </w:rPr>
              <w:t>GSTR 2A</w:t>
            </w:r>
            <w:r w:rsidRPr="001924D9">
              <w:t> and </w:t>
            </w:r>
            <w:r w:rsidRPr="001924D9">
              <w:rPr>
                <w:b/>
                <w:bCs/>
              </w:rPr>
              <w:t>GSTR 3B</w:t>
            </w:r>
            <w:r w:rsidRPr="001924D9">
              <w:t> is against the intentions of the Government, against the statutory provisions and against the Press release issued by the CBIC, as the impugned OIO has confirmed demand for recovery of ITC, without conducting any investigations at the Supplier/seller’s end.</w:t>
            </w:r>
          </w:p>
          <w:p w14:paraId="738319E4" w14:textId="69D31C11" w:rsidR="001924D9" w:rsidRPr="001924D9" w:rsidRDefault="001924D9" w:rsidP="001924D9">
            <w:pPr>
              <w:numPr>
                <w:ilvl w:val="0"/>
                <w:numId w:val="18"/>
              </w:numPr>
            </w:pPr>
            <w:r w:rsidRPr="001924D9">
              <w:t>That the appellant also placed reliance on the Judgment of Kerala High Court in the case of </w:t>
            </w:r>
            <w:r w:rsidRPr="001924D9">
              <w:rPr>
                <w:b/>
                <w:bCs/>
                <w:i/>
                <w:iCs/>
              </w:rPr>
              <w:t>Diya Agencies V/</w:t>
            </w:r>
            <w:proofErr w:type="gramStart"/>
            <w:r w:rsidRPr="001924D9">
              <w:rPr>
                <w:b/>
                <w:bCs/>
                <w:i/>
                <w:iCs/>
              </w:rPr>
              <w:t>s  The</w:t>
            </w:r>
            <w:proofErr w:type="gramEnd"/>
            <w:r w:rsidRPr="001924D9">
              <w:rPr>
                <w:b/>
                <w:bCs/>
                <w:i/>
                <w:iCs/>
              </w:rPr>
              <w:t xml:space="preserve"> State Tax Officer, [2023] (Kerala),</w:t>
            </w:r>
            <w:r w:rsidRPr="001924D9">
              <w:t> where it was held that the petitioner’s claim for higher input tax cannot be denied only on the ground that the said amount was not mentioned in the </w:t>
            </w:r>
            <w:r w:rsidRPr="001924D9">
              <w:rPr>
                <w:b/>
                <w:bCs/>
              </w:rPr>
              <w:t>GSTR 2A</w:t>
            </w:r>
            <w:r w:rsidRPr="001924D9">
              <w:t>. If the seller dealer (supplier) has not remitted the said amount paid by the petitioner to him, the petitioner cannot be held responsible. Whether the petitioner has paid the tax amount and the transactions between the petitioner and seller dealer are genuine are the matter on facts and evidence.</w:t>
            </w:r>
          </w:p>
          <w:p w14:paraId="07853458" w14:textId="77777777" w:rsidR="001924D9" w:rsidRPr="001924D9" w:rsidRDefault="001924D9" w:rsidP="001924D9">
            <w:r w:rsidRPr="001924D9">
              <w:t>On this ground alone, the impugned OIO is liable to set aside.</w:t>
            </w:r>
          </w:p>
          <w:p w14:paraId="1C35D8D5" w14:textId="2E99ED6F" w:rsidR="001924D9" w:rsidRPr="001924D9" w:rsidRDefault="001924D9" w:rsidP="001924D9">
            <w:r w:rsidRPr="001924D9">
              <w:rPr>
                <w:b/>
                <w:bCs/>
              </w:rPr>
              <w:t>I. Provisions of Section 73 of the CGST Act, 2017 are not applicable in this case</w:t>
            </w:r>
          </w:p>
          <w:p w14:paraId="58CC1415" w14:textId="4ED4BC05" w:rsidR="001924D9" w:rsidRPr="001924D9" w:rsidRDefault="001924D9" w:rsidP="001924D9">
            <w:pPr>
              <w:numPr>
                <w:ilvl w:val="0"/>
                <w:numId w:val="19"/>
              </w:numPr>
            </w:pPr>
            <w:r w:rsidRPr="001924D9">
              <w:t>That the appellant submits that the learned AA has erred in his findings that the appellant is liable for penalty under </w:t>
            </w:r>
            <w:r w:rsidRPr="001924D9">
              <w:rPr>
                <w:b/>
                <w:bCs/>
              </w:rPr>
              <w:t>section 73</w:t>
            </w:r>
            <w:r w:rsidRPr="001924D9">
              <w:t> read with </w:t>
            </w:r>
            <w:r w:rsidRPr="001924D9">
              <w:rPr>
                <w:b/>
                <w:bCs/>
              </w:rPr>
              <w:t>122</w:t>
            </w:r>
            <w:r w:rsidRPr="001924D9">
              <w:t> of the Act, as the Learned AA has not mentioned anything in the findings of the impugned OIO, as to how the appellant is liable for penalty under </w:t>
            </w:r>
            <w:r w:rsidRPr="001924D9">
              <w:rPr>
                <w:b/>
                <w:bCs/>
              </w:rPr>
              <w:t>section 122</w:t>
            </w:r>
            <w:r w:rsidRPr="001924D9">
              <w:t> of the Act.</w:t>
            </w:r>
          </w:p>
          <w:p w14:paraId="282B4604" w14:textId="59D716A7" w:rsidR="001924D9" w:rsidRPr="001924D9" w:rsidRDefault="001924D9" w:rsidP="001924D9">
            <w:pPr>
              <w:numPr>
                <w:ilvl w:val="0"/>
                <w:numId w:val="19"/>
              </w:numPr>
            </w:pPr>
            <w:r w:rsidRPr="001924D9">
              <w:t>That the appellant humbly submits that the provisions of the </w:t>
            </w:r>
            <w:r w:rsidRPr="001924D9">
              <w:rPr>
                <w:b/>
                <w:bCs/>
              </w:rPr>
              <w:t>Section 73</w:t>
            </w:r>
            <w:r w:rsidRPr="001924D9">
              <w:t> of the Act are not applicable in this case because they have submitted all prescribed returns including </w:t>
            </w:r>
            <w:r w:rsidRPr="001924D9">
              <w:rPr>
                <w:b/>
                <w:bCs/>
              </w:rPr>
              <w:t>GSTR-3B</w:t>
            </w:r>
            <w:r w:rsidRPr="001924D9">
              <w:t>, </w:t>
            </w:r>
            <w:r w:rsidRPr="001924D9">
              <w:rPr>
                <w:b/>
                <w:bCs/>
              </w:rPr>
              <w:t>GSTR-9</w:t>
            </w:r>
            <w:r w:rsidRPr="001924D9">
              <w:t> time to time and also submitted all the requisite information/documents to the department as and when sought by them.</w:t>
            </w:r>
          </w:p>
          <w:p w14:paraId="1F29DFDF" w14:textId="77777777" w:rsidR="001924D9" w:rsidRPr="001924D9" w:rsidRDefault="001924D9" w:rsidP="001924D9">
            <w:r w:rsidRPr="001924D9">
              <w:rPr>
                <w:b/>
                <w:bCs/>
              </w:rPr>
              <w:t>J. Submission regarding Penalty</w:t>
            </w:r>
          </w:p>
          <w:p w14:paraId="247E2E61" w14:textId="535F02D2" w:rsidR="001924D9" w:rsidRPr="001924D9" w:rsidRDefault="001924D9" w:rsidP="001924D9">
            <w:pPr>
              <w:numPr>
                <w:ilvl w:val="0"/>
                <w:numId w:val="20"/>
              </w:numPr>
            </w:pPr>
            <w:r w:rsidRPr="001924D9">
              <w:t>The Appellant submits that it is a well-settled proposition in law that imposition of penalty under </w:t>
            </w:r>
            <w:r w:rsidRPr="001924D9">
              <w:rPr>
                <w:b/>
                <w:bCs/>
              </w:rPr>
              <w:t>section 122</w:t>
            </w:r>
            <w:r w:rsidRPr="001924D9">
              <w:t xml:space="preserve"> of the Act is the result of quasi-criminal adjudication. It is not a mechanical process or cannot be imposed just because it is legitimate to levy penalty. The element of </w:t>
            </w:r>
            <w:proofErr w:type="spellStart"/>
            <w:r w:rsidRPr="001924D9">
              <w:t>mensrea</w:t>
            </w:r>
            <w:proofErr w:type="spellEnd"/>
            <w:r w:rsidRPr="001924D9">
              <w:t xml:space="preserve"> or </w:t>
            </w:r>
            <w:proofErr w:type="spellStart"/>
            <w:r w:rsidRPr="001924D9">
              <w:t>malafide</w:t>
            </w:r>
            <w:proofErr w:type="spellEnd"/>
            <w:r w:rsidRPr="001924D9">
              <w:t xml:space="preserve"> intent must be necessarily present, in order to justify imposition of penalty.</w:t>
            </w:r>
          </w:p>
          <w:p w14:paraId="17C5F3D7" w14:textId="77777777" w:rsidR="001924D9" w:rsidRPr="001924D9" w:rsidRDefault="001924D9" w:rsidP="001924D9">
            <w:pPr>
              <w:numPr>
                <w:ilvl w:val="0"/>
                <w:numId w:val="20"/>
              </w:numPr>
            </w:pPr>
            <w:r w:rsidRPr="001924D9">
              <w:t xml:space="preserve">A penalty can be levied on Appellant only if it is proved that there is presence of guilty, dishonest and </w:t>
            </w:r>
            <w:proofErr w:type="spellStart"/>
            <w:r w:rsidRPr="001924D9">
              <w:t>wilful</w:t>
            </w:r>
            <w:proofErr w:type="spellEnd"/>
            <w:r w:rsidRPr="001924D9">
              <w:t xml:space="preserve"> intent either to defraud revenue or evade the payment of tax on Appellant’s part. In other words, there has to be positive act on part of </w:t>
            </w:r>
            <w:proofErr w:type="spellStart"/>
            <w:r w:rsidRPr="001924D9">
              <w:t>assessee</w:t>
            </w:r>
            <w:proofErr w:type="spellEnd"/>
            <w:r w:rsidRPr="001924D9">
              <w:t xml:space="preserve"> to evade duty.</w:t>
            </w:r>
          </w:p>
          <w:p w14:paraId="20284637" w14:textId="77777777" w:rsidR="001924D9" w:rsidRPr="001924D9" w:rsidRDefault="001924D9" w:rsidP="001924D9">
            <w:pPr>
              <w:numPr>
                <w:ilvl w:val="0"/>
                <w:numId w:val="20"/>
              </w:numPr>
            </w:pPr>
            <w:r w:rsidRPr="001924D9">
              <w:t>The decision of Supreme Court in </w:t>
            </w:r>
            <w:r w:rsidRPr="001924D9">
              <w:rPr>
                <w:b/>
                <w:bCs/>
                <w:i/>
                <w:iCs/>
              </w:rPr>
              <w:t>Union of India vs. Rajasthan Spinning and Weaving Mills 2009 (238) ELT 3(SC) </w:t>
            </w:r>
            <w:r w:rsidRPr="001924D9">
              <w:t xml:space="preserve">held that clearly held that element of </w:t>
            </w:r>
            <w:proofErr w:type="spellStart"/>
            <w:r w:rsidRPr="001924D9">
              <w:t>mensrea</w:t>
            </w:r>
            <w:proofErr w:type="spellEnd"/>
            <w:r w:rsidRPr="001924D9">
              <w:t xml:space="preserve"> is essential for the imposition of penalty.</w:t>
            </w:r>
          </w:p>
          <w:p w14:paraId="441A6DEB" w14:textId="0315919B" w:rsidR="001924D9" w:rsidRPr="001924D9" w:rsidRDefault="001924D9" w:rsidP="001924D9">
            <w:pPr>
              <w:numPr>
                <w:ilvl w:val="0"/>
                <w:numId w:val="20"/>
              </w:numPr>
            </w:pPr>
            <w:r w:rsidRPr="001924D9">
              <w:t>The decision of the Supreme Court in the case of </w:t>
            </w:r>
            <w:r w:rsidRPr="001924D9">
              <w:rPr>
                <w:b/>
                <w:bCs/>
                <w:i/>
                <w:iCs/>
              </w:rPr>
              <w:t>Hindustan Steel Ltd. vs. State of Orissa (1978) ELT J 159</w:t>
            </w:r>
            <w:r w:rsidRPr="001924D9">
              <w:t> has categorically held that:</w:t>
            </w:r>
          </w:p>
          <w:p w14:paraId="44F7A437" w14:textId="77777777" w:rsidR="001924D9" w:rsidRPr="001924D9" w:rsidRDefault="001924D9" w:rsidP="001924D9">
            <w:r w:rsidRPr="001924D9">
              <w:t>“</w:t>
            </w:r>
            <w:proofErr w:type="gramStart"/>
            <w:r w:rsidRPr="001924D9">
              <w:rPr>
                <w:i/>
                <w:iCs/>
              </w:rPr>
              <w:t>the</w:t>
            </w:r>
            <w:proofErr w:type="gramEnd"/>
            <w:r w:rsidRPr="001924D9">
              <w:rPr>
                <w:i/>
                <w:iCs/>
              </w:rPr>
              <w:t xml:space="preserve"> discretion to impose a penalty must be exercised judicially. A penalty will be ordinarily by </w:t>
            </w:r>
            <w:proofErr w:type="spellStart"/>
            <w:r w:rsidRPr="001924D9">
              <w:rPr>
                <w:i/>
                <w:iCs/>
              </w:rPr>
              <w:t>imposedin</w:t>
            </w:r>
            <w:proofErr w:type="spellEnd"/>
            <w:r w:rsidRPr="001924D9">
              <w:rPr>
                <w:i/>
                <w:iCs/>
              </w:rPr>
              <w:t xml:space="preserve"> cases where the party acts deliberately in defiance of the law, or is guilty of contumacious or dishonest conduct, or acts in conscious disregard of its obligation; but not, in cases where there is a technical or venial breach of the provisions of the Act or where the breach flows from a bona fide belief that the offender is not liable to act in the manner prescribed by the statute.”</w:t>
            </w:r>
          </w:p>
          <w:p w14:paraId="6B63B5A2" w14:textId="77777777" w:rsidR="001924D9" w:rsidRPr="001924D9" w:rsidRDefault="001924D9" w:rsidP="001924D9">
            <w:pPr>
              <w:numPr>
                <w:ilvl w:val="0"/>
                <w:numId w:val="21"/>
              </w:numPr>
            </w:pPr>
            <w:r w:rsidRPr="001924D9">
              <w:t>In case of </w:t>
            </w:r>
            <w:r w:rsidRPr="001924D9">
              <w:rPr>
                <w:b/>
                <w:bCs/>
                <w:i/>
                <w:iCs/>
              </w:rPr>
              <w:t>M/s Poly spinning Mills vs. Commissioner of Central Excise, Chennai – II, 2008 (231) ELT 282 (</w:t>
            </w:r>
            <w:proofErr w:type="gramStart"/>
            <w:r w:rsidRPr="001924D9">
              <w:rPr>
                <w:b/>
                <w:bCs/>
                <w:i/>
                <w:iCs/>
              </w:rPr>
              <w:t>Tri.-</w:t>
            </w:r>
            <w:proofErr w:type="gramEnd"/>
            <w:r w:rsidRPr="001924D9">
              <w:rPr>
                <w:b/>
                <w:bCs/>
                <w:i/>
                <w:iCs/>
              </w:rPr>
              <w:t xml:space="preserve"> Chennai)</w:t>
            </w:r>
            <w:r w:rsidRPr="001924D9">
              <w:t> it is held that</w:t>
            </w:r>
          </w:p>
          <w:p w14:paraId="6B3BF804" w14:textId="77777777" w:rsidR="001924D9" w:rsidRPr="001924D9" w:rsidRDefault="001924D9" w:rsidP="001924D9">
            <w:r w:rsidRPr="001924D9">
              <w:rPr>
                <w:i/>
                <w:iCs/>
              </w:rPr>
              <w:t xml:space="preserve">“It is settled that penalty cannot be imposed just for the reason that the statute provides for it. It has to be established that the </w:t>
            </w:r>
            <w:proofErr w:type="spellStart"/>
            <w:r w:rsidRPr="001924D9">
              <w:rPr>
                <w:i/>
                <w:iCs/>
              </w:rPr>
              <w:t>assessee</w:t>
            </w:r>
            <w:proofErr w:type="spellEnd"/>
            <w:r w:rsidRPr="001924D9">
              <w:rPr>
                <w:i/>
                <w:iCs/>
              </w:rPr>
              <w:t xml:space="preserve"> was acting in defiance of law and its conduct was dishonest and contumacious”</w:t>
            </w:r>
          </w:p>
          <w:p w14:paraId="76A6AE81" w14:textId="77777777" w:rsidR="001924D9" w:rsidRPr="001924D9" w:rsidRDefault="001924D9" w:rsidP="001924D9">
            <w:pPr>
              <w:numPr>
                <w:ilvl w:val="0"/>
                <w:numId w:val="22"/>
              </w:numPr>
            </w:pPr>
            <w:r w:rsidRPr="001924D9">
              <w:t>In the matter of </w:t>
            </w:r>
            <w:r w:rsidRPr="001924D9">
              <w:rPr>
                <w:b/>
                <w:bCs/>
                <w:i/>
                <w:iCs/>
              </w:rPr>
              <w:t>Collector of Customs, Bombay vs. Unitech Exports Limited reported in [1999 (108) ELT 462 (Tribunal)]</w:t>
            </w:r>
            <w:r w:rsidRPr="001924D9">
              <w:t> Hon’ble Tribunal held that</w:t>
            </w:r>
          </w:p>
          <w:p w14:paraId="73819135" w14:textId="6DB3DC1B" w:rsidR="001924D9" w:rsidRPr="001924D9" w:rsidRDefault="001924D9" w:rsidP="001924D9">
            <w:r w:rsidRPr="001924D9">
              <w:rPr>
                <w:b/>
                <w:bCs/>
                <w:i/>
                <w:iCs/>
              </w:rPr>
              <w:t>4. It is settled position that penalty should not be imposed for the sake of levy. Penalty is not a source of Revenue. Penalty can be imposed depending upon the facts and circumstances of the case that there is a clear finding by the authorities below that this case does not warrant imposition of penalty.</w:t>
            </w:r>
            <w:r w:rsidRPr="001924D9">
              <w:rPr>
                <w:i/>
                <w:iCs/>
              </w:rPr>
              <w:t> The respondent’s Counsel has also relied upon the decision of the Supreme Court in the case of M/s. Pratibha Processors v. Union of India reported in </w:t>
            </w:r>
            <w:r w:rsidRPr="001924D9">
              <w:rPr>
                <w:b/>
                <w:bCs/>
                <w:i/>
                <w:iCs/>
              </w:rPr>
              <w:t>1996 (88) E.L.T. 12 (S.C.)</w:t>
            </w:r>
            <w:r w:rsidRPr="001924D9">
              <w:rPr>
                <w:i/>
                <w:iCs/>
              </w:rPr>
              <w:t> that penalty ordinarily levied for some contumacious conduct or for a deliberate violation of the provisions of the particular statute. In the facts and circumstances and in view of the clear finding of the authorities below that there was no deliberate violation of the provisions of the statute, I do not find any infirmity in the impugned order. In this view appeal filed by the department is hereby rejected.</w:t>
            </w:r>
          </w:p>
          <w:p w14:paraId="4CAC9251" w14:textId="22E9680C" w:rsidR="001924D9" w:rsidRPr="001924D9" w:rsidRDefault="001924D9" w:rsidP="001924D9">
            <w:r w:rsidRPr="001924D9">
              <w:t>Therefore, considering the facts and circumstance of the case, it is amply clear that penalty under </w:t>
            </w:r>
            <w:r w:rsidRPr="001924D9">
              <w:rPr>
                <w:b/>
                <w:bCs/>
              </w:rPr>
              <w:t>section 122</w:t>
            </w:r>
            <w:r w:rsidRPr="001924D9">
              <w:t> of the CGST Act, 2017 cannot be imposed on the Appellant.</w:t>
            </w:r>
          </w:p>
          <w:p w14:paraId="13761534" w14:textId="77777777" w:rsidR="001924D9" w:rsidRPr="001924D9" w:rsidRDefault="001924D9" w:rsidP="001924D9">
            <w:r w:rsidRPr="001924D9">
              <w:rPr>
                <w:b/>
                <w:bCs/>
              </w:rPr>
              <w:t>K. SUBMISSIONS ON INTEREST</w:t>
            </w:r>
          </w:p>
          <w:p w14:paraId="34183552" w14:textId="2BD1D694" w:rsidR="001924D9" w:rsidRPr="001924D9" w:rsidRDefault="001924D9" w:rsidP="001924D9">
            <w:pPr>
              <w:numPr>
                <w:ilvl w:val="0"/>
                <w:numId w:val="23"/>
              </w:numPr>
            </w:pPr>
            <w:r w:rsidRPr="001924D9">
              <w:t>That the appellant submits that the OIO has demanded and confirmed interest under </w:t>
            </w:r>
            <w:r w:rsidRPr="001924D9">
              <w:rPr>
                <w:b/>
                <w:bCs/>
              </w:rPr>
              <w:t>section 50</w:t>
            </w:r>
            <w:r w:rsidRPr="001924D9">
              <w:t> of Act on the ground that the Appellant has not reversed ITC. The Appellant humbly submits that provisions of </w:t>
            </w:r>
            <w:r w:rsidRPr="001924D9">
              <w:rPr>
                <w:b/>
                <w:bCs/>
              </w:rPr>
              <w:t>Section 50</w:t>
            </w:r>
            <w:r w:rsidRPr="001924D9">
              <w:t> are not applicable in the instant case as the Appellant has correctly availed the ITC. Therefore, there arises no liability of interest.</w:t>
            </w:r>
          </w:p>
          <w:p w14:paraId="1FC264EE" w14:textId="2B6F1CB7" w:rsidR="001924D9" w:rsidRPr="001924D9" w:rsidRDefault="001924D9" w:rsidP="001924D9">
            <w:r w:rsidRPr="001924D9">
              <w:t>In view of above submissions, it is amply clear that there cannot be any liability of interest </w:t>
            </w:r>
            <w:r w:rsidRPr="001924D9">
              <w:rPr>
                <w:b/>
                <w:bCs/>
              </w:rPr>
              <w:t>u/s 50</w:t>
            </w:r>
            <w:r w:rsidRPr="001924D9">
              <w:t> of the Act.</w:t>
            </w:r>
          </w:p>
          <w:p w14:paraId="7FA6C5A4" w14:textId="77777777" w:rsidR="001924D9" w:rsidRPr="001924D9" w:rsidRDefault="001924D9" w:rsidP="001924D9">
            <w:pPr>
              <w:numPr>
                <w:ilvl w:val="0"/>
                <w:numId w:val="24"/>
              </w:numPr>
            </w:pPr>
            <w:r w:rsidRPr="001924D9">
              <w:t>The Appellants crave leave to add, amend and/or alter any of the submissions mentioned herein above and produced such documentary evidence as may be necessary for the case. The Appellants further crave leave to rely on such judicial precedents as may be required in their defense.</w:t>
            </w:r>
          </w:p>
          <w:p w14:paraId="3BF913D9" w14:textId="77777777" w:rsidR="001924D9" w:rsidRPr="001924D9" w:rsidRDefault="001924D9" w:rsidP="001924D9">
            <w:pPr>
              <w:numPr>
                <w:ilvl w:val="0"/>
                <w:numId w:val="24"/>
              </w:numPr>
            </w:pPr>
            <w:r w:rsidRPr="001924D9">
              <w:t xml:space="preserve">In view of various submissions made above, the appellant requests your </w:t>
            </w:r>
            <w:proofErr w:type="spellStart"/>
            <w:r w:rsidRPr="001924D9">
              <w:t>Honour</w:t>
            </w:r>
            <w:proofErr w:type="spellEnd"/>
            <w:r w:rsidRPr="001924D9">
              <w:t xml:space="preserve"> to kindly set aside the impugned order of the Deputy Commissioner of State Tax, Guwahati Unit-C, Guwahati and oblige.</w:t>
            </w:r>
          </w:p>
          <w:p w14:paraId="5D7B3BA1" w14:textId="77777777" w:rsidR="001924D9" w:rsidRPr="001924D9" w:rsidRDefault="001924D9" w:rsidP="001924D9">
            <w:r w:rsidRPr="001924D9">
              <w:rPr>
                <w:b/>
                <w:bCs/>
              </w:rPr>
              <w:t>‘PRAYER’</w:t>
            </w:r>
          </w:p>
          <w:p w14:paraId="5BAB7A7C" w14:textId="77777777" w:rsidR="001924D9" w:rsidRPr="001924D9" w:rsidRDefault="001924D9" w:rsidP="001924D9">
            <w:r w:rsidRPr="001924D9">
              <w:t xml:space="preserve">The appellant would in great earnestness pray that the Hon’ble </w:t>
            </w:r>
            <w:proofErr w:type="spellStart"/>
            <w:r w:rsidRPr="001924D9">
              <w:t>Additinal</w:t>
            </w:r>
            <w:proofErr w:type="spellEnd"/>
            <w:r w:rsidRPr="001924D9">
              <w:t xml:space="preserve"> Commissioner, SGST (Appeals), ---------------- be please to set aside the impugned order of the Respondent, and allow the appeal in the ends of justice and equity, for which act justice and fairness the appellant would as in law be duty bound and beholden and pray for the justice.</w:t>
            </w:r>
          </w:p>
          <w:p w14:paraId="5C86CF92" w14:textId="77777777" w:rsidR="001924D9" w:rsidRPr="001924D9" w:rsidRDefault="001924D9" w:rsidP="001924D9">
            <w:r w:rsidRPr="001924D9">
              <w:t xml:space="preserve">Appellant request your </w:t>
            </w:r>
            <w:proofErr w:type="spellStart"/>
            <w:r w:rsidRPr="001924D9">
              <w:t>Honour</w:t>
            </w:r>
            <w:proofErr w:type="spellEnd"/>
            <w:r w:rsidRPr="001924D9">
              <w:t xml:space="preserve"> to grant us an opportunity to orally submit our case at personal hearing before you.</w:t>
            </w:r>
          </w:p>
          <w:p w14:paraId="3AD5FCCA" w14:textId="77777777" w:rsidR="001924D9" w:rsidRPr="001924D9" w:rsidRDefault="001924D9" w:rsidP="001924D9">
            <w:r w:rsidRPr="001924D9">
              <w:rPr>
                <w:b/>
                <w:bCs/>
              </w:rPr>
              <w:t>APPELLANT</w:t>
            </w:r>
          </w:p>
          <w:tbl>
            <w:tblPr>
              <w:tblW w:w="5000" w:type="pct"/>
              <w:tblCellMar>
                <w:left w:w="0" w:type="dxa"/>
                <w:right w:w="0" w:type="dxa"/>
              </w:tblCellMar>
              <w:tblLook w:val="04A0" w:firstRow="1" w:lastRow="0" w:firstColumn="1" w:lastColumn="0" w:noHBand="0" w:noVBand="1"/>
            </w:tblPr>
            <w:tblGrid>
              <w:gridCol w:w="4018"/>
              <w:gridCol w:w="6482"/>
            </w:tblGrid>
            <w:tr w:rsidR="001924D9" w:rsidRPr="001924D9" w14:paraId="4AF80158" w14:textId="77777777">
              <w:tc>
                <w:tcPr>
                  <w:tcW w:w="0" w:type="auto"/>
                  <w:tcMar>
                    <w:top w:w="75" w:type="dxa"/>
                    <w:left w:w="75" w:type="dxa"/>
                    <w:bottom w:w="75" w:type="dxa"/>
                    <w:right w:w="75" w:type="dxa"/>
                  </w:tcMar>
                  <w:vAlign w:val="center"/>
                  <w:hideMark/>
                </w:tcPr>
                <w:p w14:paraId="3E4FA8AD" w14:textId="77777777" w:rsidR="001924D9" w:rsidRPr="001924D9" w:rsidRDefault="001924D9" w:rsidP="001924D9">
                  <w:r w:rsidRPr="001924D9">
                    <w:rPr>
                      <w:b/>
                      <w:bCs/>
                    </w:rPr>
                    <w:t>Place:  --------------</w:t>
                  </w:r>
                </w:p>
              </w:tc>
              <w:tc>
                <w:tcPr>
                  <w:tcW w:w="0" w:type="auto"/>
                  <w:tcMar>
                    <w:top w:w="75" w:type="dxa"/>
                    <w:left w:w="75" w:type="dxa"/>
                    <w:bottom w:w="75" w:type="dxa"/>
                    <w:right w:w="75" w:type="dxa"/>
                  </w:tcMar>
                  <w:vAlign w:val="center"/>
                  <w:hideMark/>
                </w:tcPr>
                <w:p w14:paraId="1106BFC7" w14:textId="77777777" w:rsidR="001924D9" w:rsidRPr="001924D9" w:rsidRDefault="001924D9" w:rsidP="001924D9">
                  <w:r w:rsidRPr="001924D9">
                    <w:rPr>
                      <w:b/>
                      <w:bCs/>
                    </w:rPr>
                    <w:t>For M/S ------------------------ LIMITED</w:t>
                  </w:r>
                </w:p>
              </w:tc>
            </w:tr>
            <w:tr w:rsidR="001924D9" w:rsidRPr="001924D9" w14:paraId="4B0471F4" w14:textId="77777777">
              <w:tc>
                <w:tcPr>
                  <w:tcW w:w="0" w:type="auto"/>
                  <w:tcMar>
                    <w:top w:w="75" w:type="dxa"/>
                    <w:left w:w="75" w:type="dxa"/>
                    <w:bottom w:w="75" w:type="dxa"/>
                    <w:right w:w="75" w:type="dxa"/>
                  </w:tcMar>
                  <w:vAlign w:val="center"/>
                  <w:hideMark/>
                </w:tcPr>
                <w:p w14:paraId="275874D2" w14:textId="77777777" w:rsidR="001924D9" w:rsidRPr="001924D9" w:rsidRDefault="001924D9" w:rsidP="001924D9">
                  <w:r w:rsidRPr="001924D9">
                    <w:rPr>
                      <w:b/>
                      <w:bCs/>
                    </w:rPr>
                    <w:t>Date: - -------------------</w:t>
                  </w:r>
                </w:p>
              </w:tc>
              <w:tc>
                <w:tcPr>
                  <w:tcW w:w="0" w:type="auto"/>
                  <w:tcMar>
                    <w:top w:w="75" w:type="dxa"/>
                    <w:left w:w="75" w:type="dxa"/>
                    <w:bottom w:w="75" w:type="dxa"/>
                    <w:right w:w="75" w:type="dxa"/>
                  </w:tcMar>
                  <w:vAlign w:val="center"/>
                  <w:hideMark/>
                </w:tcPr>
                <w:p w14:paraId="07866CB1" w14:textId="77777777" w:rsidR="001924D9" w:rsidRPr="001924D9" w:rsidRDefault="001924D9" w:rsidP="001924D9">
                  <w:r w:rsidRPr="001924D9">
                    <w:rPr>
                      <w:b/>
                      <w:bCs/>
                    </w:rPr>
                    <w:t>Director</w:t>
                  </w:r>
                </w:p>
              </w:tc>
            </w:tr>
          </w:tbl>
          <w:p w14:paraId="04948B90" w14:textId="77777777" w:rsidR="001924D9" w:rsidRPr="001924D9" w:rsidRDefault="001924D9" w:rsidP="001924D9">
            <w:r w:rsidRPr="001924D9">
              <w:t> </w:t>
            </w:r>
          </w:p>
          <w:p w14:paraId="51BAD8B2" w14:textId="77777777" w:rsidR="001924D9" w:rsidRPr="001924D9" w:rsidRDefault="001924D9" w:rsidP="001924D9">
            <w:r w:rsidRPr="001924D9">
              <w:rPr>
                <w:b/>
                <w:bCs/>
              </w:rPr>
              <w:t>VERIFICATION</w:t>
            </w:r>
          </w:p>
          <w:p w14:paraId="08180626" w14:textId="77777777" w:rsidR="001924D9" w:rsidRPr="001924D9" w:rsidRDefault="001924D9" w:rsidP="001924D9">
            <w:r w:rsidRPr="001924D9">
              <w:rPr>
                <w:b/>
                <w:bCs/>
              </w:rPr>
              <w:t>I, ……………., Director of the Appellants hereinabove, do hereby declare that what is stated above is true to the best of my information and belief.</w:t>
            </w:r>
          </w:p>
          <w:p w14:paraId="1CB09F59" w14:textId="77777777" w:rsidR="001924D9" w:rsidRPr="001924D9" w:rsidRDefault="001924D9" w:rsidP="001924D9">
            <w:r w:rsidRPr="001924D9">
              <w:rPr>
                <w:b/>
                <w:bCs/>
              </w:rPr>
              <w:t>Verified today, the -----------------------.</w:t>
            </w:r>
          </w:p>
          <w:p w14:paraId="3EDDCE02" w14:textId="77777777" w:rsidR="001924D9" w:rsidRPr="001924D9" w:rsidRDefault="001924D9" w:rsidP="001924D9">
            <w:r w:rsidRPr="001924D9">
              <w:rPr>
                <w:b/>
                <w:bCs/>
              </w:rPr>
              <w:t>APPELLANT</w:t>
            </w:r>
          </w:p>
          <w:tbl>
            <w:tblPr>
              <w:tblW w:w="5000" w:type="pct"/>
              <w:tblCellMar>
                <w:left w:w="0" w:type="dxa"/>
                <w:right w:w="0" w:type="dxa"/>
              </w:tblCellMar>
              <w:tblLook w:val="04A0" w:firstRow="1" w:lastRow="0" w:firstColumn="1" w:lastColumn="0" w:noHBand="0" w:noVBand="1"/>
            </w:tblPr>
            <w:tblGrid>
              <w:gridCol w:w="3915"/>
              <w:gridCol w:w="6585"/>
            </w:tblGrid>
            <w:tr w:rsidR="001924D9" w:rsidRPr="001924D9" w14:paraId="0FE5F6E4" w14:textId="77777777">
              <w:tc>
                <w:tcPr>
                  <w:tcW w:w="0" w:type="auto"/>
                  <w:tcMar>
                    <w:top w:w="75" w:type="dxa"/>
                    <w:left w:w="75" w:type="dxa"/>
                    <w:bottom w:w="75" w:type="dxa"/>
                    <w:right w:w="75" w:type="dxa"/>
                  </w:tcMar>
                  <w:vAlign w:val="center"/>
                  <w:hideMark/>
                </w:tcPr>
                <w:p w14:paraId="5E34F0CD" w14:textId="77777777" w:rsidR="001924D9" w:rsidRPr="001924D9" w:rsidRDefault="001924D9" w:rsidP="001924D9">
                  <w:r w:rsidRPr="001924D9">
                    <w:rPr>
                      <w:b/>
                      <w:bCs/>
                    </w:rPr>
                    <w:t>Place:  --------------</w:t>
                  </w:r>
                </w:p>
              </w:tc>
              <w:tc>
                <w:tcPr>
                  <w:tcW w:w="0" w:type="auto"/>
                  <w:tcMar>
                    <w:top w:w="75" w:type="dxa"/>
                    <w:left w:w="75" w:type="dxa"/>
                    <w:bottom w:w="75" w:type="dxa"/>
                    <w:right w:w="75" w:type="dxa"/>
                  </w:tcMar>
                  <w:vAlign w:val="center"/>
                  <w:hideMark/>
                </w:tcPr>
                <w:p w14:paraId="3006CCA7" w14:textId="77777777" w:rsidR="001924D9" w:rsidRPr="001924D9" w:rsidRDefault="001924D9" w:rsidP="001924D9">
                  <w:r w:rsidRPr="001924D9">
                    <w:rPr>
                      <w:b/>
                      <w:bCs/>
                      <w:i/>
                      <w:iCs/>
                    </w:rPr>
                    <w:t>FOR M/S ------------------------- LIMITED</w:t>
                  </w:r>
                </w:p>
              </w:tc>
            </w:tr>
            <w:tr w:rsidR="001924D9" w:rsidRPr="001924D9" w14:paraId="12BB3AEF" w14:textId="77777777">
              <w:tc>
                <w:tcPr>
                  <w:tcW w:w="0" w:type="auto"/>
                  <w:tcMar>
                    <w:top w:w="75" w:type="dxa"/>
                    <w:left w:w="75" w:type="dxa"/>
                    <w:bottom w:w="75" w:type="dxa"/>
                    <w:right w:w="75" w:type="dxa"/>
                  </w:tcMar>
                  <w:vAlign w:val="center"/>
                  <w:hideMark/>
                </w:tcPr>
                <w:p w14:paraId="043D429A" w14:textId="77777777" w:rsidR="001924D9" w:rsidRPr="001924D9" w:rsidRDefault="001924D9" w:rsidP="001924D9">
                  <w:r w:rsidRPr="001924D9">
                    <w:rPr>
                      <w:b/>
                      <w:bCs/>
                    </w:rPr>
                    <w:t>Date: - -------------------</w:t>
                  </w:r>
                </w:p>
              </w:tc>
              <w:tc>
                <w:tcPr>
                  <w:tcW w:w="0" w:type="auto"/>
                  <w:tcMar>
                    <w:top w:w="75" w:type="dxa"/>
                    <w:left w:w="75" w:type="dxa"/>
                    <w:bottom w:w="75" w:type="dxa"/>
                    <w:right w:w="75" w:type="dxa"/>
                  </w:tcMar>
                  <w:vAlign w:val="center"/>
                  <w:hideMark/>
                </w:tcPr>
                <w:p w14:paraId="3D30C325" w14:textId="77777777" w:rsidR="001924D9" w:rsidRPr="001924D9" w:rsidRDefault="001924D9" w:rsidP="001924D9">
                  <w:r w:rsidRPr="001924D9">
                    <w:rPr>
                      <w:b/>
                      <w:bCs/>
                    </w:rPr>
                    <w:t>Director</w:t>
                  </w:r>
                </w:p>
              </w:tc>
            </w:tr>
          </w:tbl>
          <w:p w14:paraId="33D0AA28" w14:textId="77777777" w:rsidR="001924D9" w:rsidRPr="001924D9" w:rsidRDefault="001924D9" w:rsidP="001924D9"/>
        </w:tc>
      </w:tr>
    </w:tbl>
    <w:p w14:paraId="0D38901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A79"/>
    <w:multiLevelType w:val="multilevel"/>
    <w:tmpl w:val="91F03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A7200"/>
    <w:multiLevelType w:val="multilevel"/>
    <w:tmpl w:val="98A20B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F2BD1"/>
    <w:multiLevelType w:val="multilevel"/>
    <w:tmpl w:val="697052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14336"/>
    <w:multiLevelType w:val="multilevel"/>
    <w:tmpl w:val="69DC85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610D"/>
    <w:multiLevelType w:val="multilevel"/>
    <w:tmpl w:val="DEEA61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F0C86"/>
    <w:multiLevelType w:val="multilevel"/>
    <w:tmpl w:val="65002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6433E"/>
    <w:multiLevelType w:val="multilevel"/>
    <w:tmpl w:val="EBDCDBE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A64D7"/>
    <w:multiLevelType w:val="multilevel"/>
    <w:tmpl w:val="A872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21E46"/>
    <w:multiLevelType w:val="multilevel"/>
    <w:tmpl w:val="20C8F8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70495"/>
    <w:multiLevelType w:val="multilevel"/>
    <w:tmpl w:val="F5404AB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B738C"/>
    <w:multiLevelType w:val="multilevel"/>
    <w:tmpl w:val="2904D07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81D02"/>
    <w:multiLevelType w:val="multilevel"/>
    <w:tmpl w:val="F4C6F11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D0B5A"/>
    <w:multiLevelType w:val="multilevel"/>
    <w:tmpl w:val="5C580E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5669B"/>
    <w:multiLevelType w:val="multilevel"/>
    <w:tmpl w:val="4DD6850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C66AE"/>
    <w:multiLevelType w:val="multilevel"/>
    <w:tmpl w:val="CDC0D13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66D62"/>
    <w:multiLevelType w:val="multilevel"/>
    <w:tmpl w:val="18501DA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63782"/>
    <w:multiLevelType w:val="multilevel"/>
    <w:tmpl w:val="6EA4E4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D65FEC"/>
    <w:multiLevelType w:val="multilevel"/>
    <w:tmpl w:val="3D5EC74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F000B"/>
    <w:multiLevelType w:val="multilevel"/>
    <w:tmpl w:val="95B4A86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4025D"/>
    <w:multiLevelType w:val="multilevel"/>
    <w:tmpl w:val="D2D266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24BB5"/>
    <w:multiLevelType w:val="multilevel"/>
    <w:tmpl w:val="40EADB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A475A"/>
    <w:multiLevelType w:val="multilevel"/>
    <w:tmpl w:val="04C0B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813082"/>
    <w:multiLevelType w:val="multilevel"/>
    <w:tmpl w:val="51860DF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30B4E"/>
    <w:multiLevelType w:val="multilevel"/>
    <w:tmpl w:val="E5E06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836727">
    <w:abstractNumId w:val="23"/>
  </w:num>
  <w:num w:numId="2" w16cid:durableId="231086307">
    <w:abstractNumId w:val="7"/>
  </w:num>
  <w:num w:numId="3" w16cid:durableId="1559513055">
    <w:abstractNumId w:val="21"/>
  </w:num>
  <w:num w:numId="4" w16cid:durableId="1035350514">
    <w:abstractNumId w:val="0"/>
  </w:num>
  <w:num w:numId="5" w16cid:durableId="1792286308">
    <w:abstractNumId w:val="16"/>
  </w:num>
  <w:num w:numId="6" w16cid:durableId="281301677">
    <w:abstractNumId w:val="5"/>
  </w:num>
  <w:num w:numId="7" w16cid:durableId="1260024061">
    <w:abstractNumId w:val="20"/>
  </w:num>
  <w:num w:numId="8" w16cid:durableId="833108338">
    <w:abstractNumId w:val="19"/>
  </w:num>
  <w:num w:numId="9" w16cid:durableId="1372026968">
    <w:abstractNumId w:val="3"/>
  </w:num>
  <w:num w:numId="10" w16cid:durableId="545407190">
    <w:abstractNumId w:val="4"/>
  </w:num>
  <w:num w:numId="11" w16cid:durableId="1499537550">
    <w:abstractNumId w:val="1"/>
  </w:num>
  <w:num w:numId="12" w16cid:durableId="2093772587">
    <w:abstractNumId w:val="8"/>
  </w:num>
  <w:num w:numId="13" w16cid:durableId="2111311606">
    <w:abstractNumId w:val="2"/>
  </w:num>
  <w:num w:numId="14" w16cid:durableId="237836460">
    <w:abstractNumId w:val="9"/>
  </w:num>
  <w:num w:numId="15" w16cid:durableId="23023835">
    <w:abstractNumId w:val="15"/>
  </w:num>
  <w:num w:numId="16" w16cid:durableId="1773433514">
    <w:abstractNumId w:val="10"/>
  </w:num>
  <w:num w:numId="17" w16cid:durableId="27461513">
    <w:abstractNumId w:val="14"/>
  </w:num>
  <w:num w:numId="18" w16cid:durableId="1556313891">
    <w:abstractNumId w:val="17"/>
  </w:num>
  <w:num w:numId="19" w16cid:durableId="829447695">
    <w:abstractNumId w:val="12"/>
  </w:num>
  <w:num w:numId="20" w16cid:durableId="1714957320">
    <w:abstractNumId w:val="11"/>
  </w:num>
  <w:num w:numId="21" w16cid:durableId="323630665">
    <w:abstractNumId w:val="22"/>
  </w:num>
  <w:num w:numId="22" w16cid:durableId="1487668979">
    <w:abstractNumId w:val="18"/>
  </w:num>
  <w:num w:numId="23" w16cid:durableId="266885823">
    <w:abstractNumId w:val="13"/>
  </w:num>
  <w:num w:numId="24" w16cid:durableId="1127972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D9"/>
    <w:rsid w:val="00031CAE"/>
    <w:rsid w:val="001924D9"/>
    <w:rsid w:val="00447B58"/>
    <w:rsid w:val="005237F3"/>
    <w:rsid w:val="00E949B8"/>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AF2E"/>
  <w15:chartTrackingRefBased/>
  <w15:docId w15:val="{A78D634B-6771-417F-BA15-546FAC14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4D9"/>
    <w:rPr>
      <w:rFonts w:eastAsiaTheme="majorEastAsia" w:cstheme="majorBidi"/>
      <w:color w:val="272727" w:themeColor="text1" w:themeTint="D8"/>
    </w:rPr>
  </w:style>
  <w:style w:type="paragraph" w:styleId="Title">
    <w:name w:val="Title"/>
    <w:basedOn w:val="Normal"/>
    <w:next w:val="Normal"/>
    <w:link w:val="TitleChar"/>
    <w:uiPriority w:val="10"/>
    <w:qFormat/>
    <w:rsid w:val="0019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4D9"/>
    <w:pPr>
      <w:spacing w:before="160"/>
      <w:jc w:val="center"/>
    </w:pPr>
    <w:rPr>
      <w:i/>
      <w:iCs/>
      <w:color w:val="404040" w:themeColor="text1" w:themeTint="BF"/>
    </w:rPr>
  </w:style>
  <w:style w:type="character" w:customStyle="1" w:styleId="QuoteChar">
    <w:name w:val="Quote Char"/>
    <w:basedOn w:val="DefaultParagraphFont"/>
    <w:link w:val="Quote"/>
    <w:uiPriority w:val="29"/>
    <w:rsid w:val="001924D9"/>
    <w:rPr>
      <w:i/>
      <w:iCs/>
      <w:color w:val="404040" w:themeColor="text1" w:themeTint="BF"/>
    </w:rPr>
  </w:style>
  <w:style w:type="paragraph" w:styleId="ListParagraph">
    <w:name w:val="List Paragraph"/>
    <w:basedOn w:val="Normal"/>
    <w:uiPriority w:val="34"/>
    <w:qFormat/>
    <w:rsid w:val="001924D9"/>
    <w:pPr>
      <w:ind w:left="720"/>
      <w:contextualSpacing/>
    </w:pPr>
  </w:style>
  <w:style w:type="character" w:styleId="IntenseEmphasis">
    <w:name w:val="Intense Emphasis"/>
    <w:basedOn w:val="DefaultParagraphFont"/>
    <w:uiPriority w:val="21"/>
    <w:qFormat/>
    <w:rsid w:val="001924D9"/>
    <w:rPr>
      <w:i/>
      <w:iCs/>
      <w:color w:val="2F5496" w:themeColor="accent1" w:themeShade="BF"/>
    </w:rPr>
  </w:style>
  <w:style w:type="paragraph" w:styleId="IntenseQuote">
    <w:name w:val="Intense Quote"/>
    <w:basedOn w:val="Normal"/>
    <w:next w:val="Normal"/>
    <w:link w:val="IntenseQuoteChar"/>
    <w:uiPriority w:val="30"/>
    <w:qFormat/>
    <w:rsid w:val="00192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4D9"/>
    <w:rPr>
      <w:i/>
      <w:iCs/>
      <w:color w:val="2F5496" w:themeColor="accent1" w:themeShade="BF"/>
    </w:rPr>
  </w:style>
  <w:style w:type="character" w:styleId="IntenseReference">
    <w:name w:val="Intense Reference"/>
    <w:basedOn w:val="DefaultParagraphFont"/>
    <w:uiPriority w:val="32"/>
    <w:qFormat/>
    <w:rsid w:val="001924D9"/>
    <w:rPr>
      <w:b/>
      <w:bCs/>
      <w:smallCaps/>
      <w:color w:val="2F5496" w:themeColor="accent1" w:themeShade="BF"/>
      <w:spacing w:val="5"/>
    </w:rPr>
  </w:style>
  <w:style w:type="character" w:styleId="Hyperlink">
    <w:name w:val="Hyperlink"/>
    <w:basedOn w:val="DefaultParagraphFont"/>
    <w:uiPriority w:val="99"/>
    <w:unhideWhenUsed/>
    <w:rsid w:val="001924D9"/>
    <w:rPr>
      <w:color w:val="0563C1" w:themeColor="hyperlink"/>
      <w:u w:val="single"/>
    </w:rPr>
  </w:style>
  <w:style w:type="character" w:styleId="UnresolvedMention">
    <w:name w:val="Unresolved Mention"/>
    <w:basedOn w:val="DefaultParagraphFont"/>
    <w:uiPriority w:val="99"/>
    <w:semiHidden/>
    <w:unhideWhenUsed/>
    <w:rsid w:val="00192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4637</Words>
  <Characters>26431</Characters>
  <Application>Microsoft Office Word</Application>
  <DocSecurity>0</DocSecurity>
  <Lines>220</Lines>
  <Paragraphs>62</Paragraphs>
  <ScaleCrop>false</ScaleCrop>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2025-10-30T05:08:00Z</dcterms:created>
  <dcterms:modified xsi:type="dcterms:W3CDTF">2025-10-30T05:16:00Z</dcterms:modified>
</cp:coreProperties>
</file>