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C9CC" w14:textId="77777777" w:rsidR="006939CB" w:rsidRPr="006939CB" w:rsidRDefault="006939CB" w:rsidP="006939CB">
      <w:r w:rsidRPr="006939CB">
        <w:t>Dear sir,</w:t>
      </w:r>
    </w:p>
    <w:p w14:paraId="612555AC" w14:textId="77777777" w:rsidR="006939CB" w:rsidRPr="006939CB" w:rsidRDefault="006939CB" w:rsidP="006939CB">
      <w:r w:rsidRPr="006939CB">
        <w:rPr>
          <w:b/>
          <w:bCs/>
        </w:rPr>
        <w:t>Sub: Show cause notice regarding payment of penalty u/s 122 on claim of ITC on strength of fake invoice</w:t>
      </w:r>
    </w:p>
    <w:p w14:paraId="70549B05" w14:textId="6EA182CA" w:rsidR="006939CB" w:rsidRPr="006939CB" w:rsidRDefault="006939CB" w:rsidP="006939CB">
      <w:r w:rsidRPr="006939CB">
        <w:t>We are in receipt of the above referred notice directing us to pay penalty </w:t>
      </w:r>
      <w:r w:rsidRPr="006939CB">
        <w:rPr>
          <w:b/>
          <w:bCs/>
        </w:rPr>
        <w:t>u/s 122</w:t>
      </w:r>
      <w:r w:rsidRPr="006939CB">
        <w:t xml:space="preserve"> to take or </w:t>
      </w:r>
      <w:proofErr w:type="spellStart"/>
      <w:r w:rsidRPr="006939CB">
        <w:t>utilise</w:t>
      </w:r>
      <w:proofErr w:type="spellEnd"/>
      <w:r w:rsidRPr="006939CB">
        <w:t xml:space="preserve"> Input tax credit without actual receipt of goods or services or both either fully or partially, in contravention of the provisions of this Act or the rules made thereunder for the period April 2021 to March 2022.</w:t>
      </w:r>
    </w:p>
    <w:p w14:paraId="78CC1276" w14:textId="79489D05" w:rsidR="006939CB" w:rsidRPr="006939CB" w:rsidRDefault="006939CB" w:rsidP="006939CB">
      <w:r w:rsidRPr="006939CB">
        <w:t>Under </w:t>
      </w:r>
      <w:r w:rsidRPr="006939CB">
        <w:rPr>
          <w:b/>
          <w:bCs/>
        </w:rPr>
        <w:t>section 122(1) (vii)</w:t>
      </w:r>
      <w:r w:rsidRPr="006939CB">
        <w:t xml:space="preserve"> Where a Taxable person who takes or </w:t>
      </w:r>
      <w:proofErr w:type="spellStart"/>
      <w:r w:rsidRPr="006939CB">
        <w:t>utilises</w:t>
      </w:r>
      <w:proofErr w:type="spellEnd"/>
      <w:r w:rsidRPr="006939CB">
        <w:t xml:space="preserve"> Input tax credit without actual receipt of goods or services or both either fully or partially, in contravention of the provisions of this Act or the rules made thereunder he shall be liable to pay a penalty of ten thousand rupees or an amount equivalent to the tax evaded.</w:t>
      </w:r>
    </w:p>
    <w:p w14:paraId="47ED3E9D" w14:textId="77777777" w:rsidR="006939CB" w:rsidRPr="006939CB" w:rsidRDefault="006939CB" w:rsidP="006939CB">
      <w:r w:rsidRPr="006939CB">
        <w:t>The only reason for declining the input tax credit is that the ITC was availed on the strength of fake purchases invoices from certain entities which are fictitious firm. We would like to submit that reversal of ITC is made by us only to buy mental peace and we were not at all involved in the activity of fake invoice purchases.</w:t>
      </w:r>
    </w:p>
    <w:p w14:paraId="7387EFB7" w14:textId="057EC722" w:rsidR="006939CB" w:rsidRPr="006939CB" w:rsidRDefault="006939CB" w:rsidP="006939CB">
      <w:r w:rsidRPr="006939CB">
        <w:t>We would like to submit that the above referred notice directing us to pay the penalty is not in accordance with law as the ITC availed by us was in compliance of conditions mentioned in </w:t>
      </w:r>
      <w:r w:rsidRPr="006939CB">
        <w:rPr>
          <w:b/>
          <w:bCs/>
        </w:rPr>
        <w:t>Section 16(2)</w:t>
      </w:r>
      <w:r w:rsidRPr="006939CB">
        <w:t> of CGST Act which is reproduced hereunder—</w:t>
      </w:r>
    </w:p>
    <w:p w14:paraId="410421C9" w14:textId="77777777" w:rsidR="006939CB" w:rsidRPr="006939CB" w:rsidRDefault="006939CB" w:rsidP="006939CB">
      <w:r w:rsidRPr="006939CB">
        <w:t xml:space="preserve">(2) Notwithstanding anything contained in this section, no Registered person shall be entitled to the credit of any input tax in respect of any supply of goods or services or both to him </w:t>
      </w:r>
      <w:proofErr w:type="gramStart"/>
      <w:r w:rsidRPr="006939CB">
        <w:t>unless,—</w:t>
      </w:r>
      <w:proofErr w:type="gramEnd"/>
    </w:p>
    <w:p w14:paraId="569101D9" w14:textId="77777777" w:rsidR="006939CB" w:rsidRPr="006939CB" w:rsidRDefault="006939CB" w:rsidP="006939CB">
      <w:r w:rsidRPr="006939CB">
        <w:t>(a) he is in possession of a tax invoice or Debit note issued by a supplier registered under this Act, or such other tax paying documents as may be prescribed;</w:t>
      </w:r>
    </w:p>
    <w:p w14:paraId="1400B5E8" w14:textId="1A343AD5" w:rsidR="006939CB" w:rsidRPr="006939CB" w:rsidRDefault="006939CB" w:rsidP="006939CB">
      <w:r w:rsidRPr="006939CB">
        <w:t>(aa) the details of the invoice or Debit note referred to in clause (a) has been furnished by the supplier in the statement of outward supplies and such details have been communicated to the recipient of such invoice or Debit note in the manner specified under </w:t>
      </w:r>
      <w:r w:rsidRPr="006939CB">
        <w:rPr>
          <w:b/>
          <w:bCs/>
        </w:rPr>
        <w:t>section 37</w:t>
      </w:r>
      <w:r w:rsidRPr="006939CB">
        <w:t>;</w:t>
      </w:r>
    </w:p>
    <w:p w14:paraId="7A4F311C" w14:textId="77777777" w:rsidR="006939CB" w:rsidRPr="006939CB" w:rsidRDefault="006939CB" w:rsidP="006939CB">
      <w:r w:rsidRPr="006939CB">
        <w:t>(b) he has received the goods or services or both.</w:t>
      </w:r>
    </w:p>
    <w:p w14:paraId="4B1C0957" w14:textId="77777777" w:rsidR="006939CB" w:rsidRPr="006939CB" w:rsidRDefault="006939CB" w:rsidP="006939CB">
      <w:proofErr w:type="gramStart"/>
      <w:r w:rsidRPr="006939CB">
        <w:t>Explanation.—</w:t>
      </w:r>
      <w:proofErr w:type="gramEnd"/>
      <w:r w:rsidRPr="006939CB">
        <w:t>For the purposes of this clause, it shall be deemed that the Registered person has received the goods or, as the case may be, services—</w:t>
      </w:r>
    </w:p>
    <w:p w14:paraId="0D9F265A" w14:textId="77777777" w:rsidR="006939CB" w:rsidRPr="006939CB" w:rsidRDefault="006939CB" w:rsidP="006939CB">
      <w:r w:rsidRPr="006939CB">
        <w:t>(</w:t>
      </w:r>
      <w:proofErr w:type="spellStart"/>
      <w:r w:rsidRPr="006939CB">
        <w:t>i</w:t>
      </w:r>
      <w:proofErr w:type="spellEnd"/>
      <w:r w:rsidRPr="006939CB">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2D8EF2B5" w14:textId="77777777" w:rsidR="006939CB" w:rsidRPr="006939CB" w:rsidRDefault="006939CB" w:rsidP="006939CB">
      <w:r w:rsidRPr="006939CB">
        <w:lastRenderedPageBreak/>
        <w:t>(ii) where the services are provided by the supplier to any person on the direction of and on account of such Registered person.</w:t>
      </w:r>
    </w:p>
    <w:p w14:paraId="6001E371" w14:textId="7A164C79" w:rsidR="006939CB" w:rsidRPr="006939CB" w:rsidRDefault="006939CB" w:rsidP="006939CB">
      <w:r w:rsidRPr="006939CB">
        <w:t>(</w:t>
      </w:r>
      <w:proofErr w:type="spellStart"/>
      <w:r w:rsidRPr="006939CB">
        <w:t>ba</w:t>
      </w:r>
      <w:proofErr w:type="spellEnd"/>
      <w:r w:rsidRPr="006939CB">
        <w:t>) the details of Input tax credit in respect of the said supply communicated to such Registered person under </w:t>
      </w:r>
      <w:r w:rsidRPr="006939CB">
        <w:rPr>
          <w:b/>
          <w:bCs/>
        </w:rPr>
        <w:t>section 38</w:t>
      </w:r>
      <w:r w:rsidRPr="006939CB">
        <w:t> has not been restricted;</w:t>
      </w:r>
    </w:p>
    <w:p w14:paraId="437F5026" w14:textId="0511EAD9" w:rsidR="006939CB" w:rsidRPr="006939CB" w:rsidRDefault="006939CB" w:rsidP="006939CB">
      <w:r w:rsidRPr="006939CB">
        <w:t>(c) subject to the provisions of </w:t>
      </w:r>
      <w:r w:rsidRPr="006939CB">
        <w:rPr>
          <w:b/>
          <w:bCs/>
        </w:rPr>
        <w:t>Section 41</w:t>
      </w:r>
      <w:r w:rsidRPr="006939CB">
        <w:t xml:space="preserve">, the tax charged in respect of such supply has been actually paid to the Government, either in cash or through </w:t>
      </w:r>
      <w:proofErr w:type="spellStart"/>
      <w:r w:rsidRPr="006939CB">
        <w:t>utilisation</w:t>
      </w:r>
      <w:proofErr w:type="spellEnd"/>
      <w:r w:rsidRPr="006939CB">
        <w:t xml:space="preserve"> of Input tax credit admissible in respect of the said supply; and</w:t>
      </w:r>
    </w:p>
    <w:p w14:paraId="0632A371" w14:textId="27A75426" w:rsidR="006939CB" w:rsidRPr="006939CB" w:rsidRDefault="006939CB" w:rsidP="006939CB">
      <w:r w:rsidRPr="006939CB">
        <w:t>(d) he has furnished the return under </w:t>
      </w:r>
      <w:r w:rsidRPr="006939CB">
        <w:rPr>
          <w:b/>
          <w:bCs/>
        </w:rPr>
        <w:t>Section 39</w:t>
      </w:r>
      <w:r w:rsidRPr="006939CB">
        <w:t>:</w:t>
      </w:r>
    </w:p>
    <w:p w14:paraId="5FB4CD29" w14:textId="77777777" w:rsidR="006939CB" w:rsidRPr="006939CB" w:rsidRDefault="006939CB" w:rsidP="006939CB">
      <w:r w:rsidRPr="006939CB">
        <w:t xml:space="preserve">In view of the above, a taxpayer is eligible to claim ITC on fulfilling the </w:t>
      </w:r>
      <w:proofErr w:type="gramStart"/>
      <w:r w:rsidRPr="006939CB">
        <w:t>above mentioned</w:t>
      </w:r>
      <w:proofErr w:type="gramEnd"/>
      <w:r w:rsidRPr="006939CB">
        <w:t xml:space="preserve"> conditions. If taxpayer has all requisite documents to claim ITC, there is no question of reversal. We submit that the ITC claimed by us in question is genuine and valid as required.</w:t>
      </w:r>
    </w:p>
    <w:p w14:paraId="362F970E" w14:textId="22215DDF" w:rsidR="006939CB" w:rsidRPr="006939CB" w:rsidRDefault="006939CB" w:rsidP="006939CB">
      <w:r w:rsidRPr="006939CB">
        <w:t xml:space="preserve">A detailed reply was submitted by us to prove that the transactions reported by us were genuine and actual goods was received by us. </w:t>
      </w:r>
      <w:proofErr w:type="gramStart"/>
      <w:r w:rsidRPr="006939CB">
        <w:t>Looking the circumstances</w:t>
      </w:r>
      <w:proofErr w:type="gramEnd"/>
      <w:r w:rsidRPr="006939CB">
        <w:t xml:space="preserve"> we decided to reverse the ITC but there was no mala fide intention on our part. The suppliers were genuine for the supplies made to us but on the evidence of other supplies made by them you rejected our claim also. But on that ground no penalty </w:t>
      </w:r>
      <w:r w:rsidRPr="006939CB">
        <w:rPr>
          <w:b/>
          <w:bCs/>
        </w:rPr>
        <w:t>u/s 122</w:t>
      </w:r>
      <w:r w:rsidRPr="006939CB">
        <w:t> can be imposed on us.</w:t>
      </w:r>
    </w:p>
    <w:p w14:paraId="5AC2C2E9" w14:textId="77777777" w:rsidR="006939CB" w:rsidRPr="006939CB" w:rsidRDefault="006939CB" w:rsidP="006939CB">
      <w:proofErr w:type="gramStart"/>
      <w:r w:rsidRPr="006939CB">
        <w:t>Prayer:-</w:t>
      </w:r>
      <w:proofErr w:type="gramEnd"/>
      <w:r w:rsidRPr="006939CB">
        <w:t xml:space="preserve"> In view of the above, it is respectfully prayed to—</w:t>
      </w:r>
    </w:p>
    <w:p w14:paraId="7CBC41C7" w14:textId="77777777" w:rsidR="006939CB" w:rsidRPr="006939CB" w:rsidRDefault="006939CB" w:rsidP="006939CB">
      <w:r w:rsidRPr="006939CB">
        <w:t>(a) Set aside the show cause notice dated……………</w:t>
      </w:r>
    </w:p>
    <w:p w14:paraId="5D346707" w14:textId="77777777" w:rsidR="006939CB" w:rsidRPr="006939CB" w:rsidRDefault="006939CB" w:rsidP="006939CB">
      <w:r w:rsidRPr="006939CB">
        <w:t>(b) Drop further proceedings in this regard.</w:t>
      </w:r>
    </w:p>
    <w:p w14:paraId="4AAA64A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CB"/>
    <w:rsid w:val="00031CAE"/>
    <w:rsid w:val="0028735D"/>
    <w:rsid w:val="00447B58"/>
    <w:rsid w:val="005237F3"/>
    <w:rsid w:val="006939CB"/>
    <w:rsid w:val="0093260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0850"/>
  <w15:chartTrackingRefBased/>
  <w15:docId w15:val="{8EA79EF4-F3FA-44E3-995C-CE7C61A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9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9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9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9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9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9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9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9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9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9CB"/>
    <w:rPr>
      <w:rFonts w:eastAsiaTheme="majorEastAsia" w:cstheme="majorBidi"/>
      <w:color w:val="272727" w:themeColor="text1" w:themeTint="D8"/>
    </w:rPr>
  </w:style>
  <w:style w:type="paragraph" w:styleId="Title">
    <w:name w:val="Title"/>
    <w:basedOn w:val="Normal"/>
    <w:next w:val="Normal"/>
    <w:link w:val="TitleChar"/>
    <w:uiPriority w:val="10"/>
    <w:qFormat/>
    <w:rsid w:val="00693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9CB"/>
    <w:pPr>
      <w:spacing w:before="160"/>
      <w:jc w:val="center"/>
    </w:pPr>
    <w:rPr>
      <w:i/>
      <w:iCs/>
      <w:color w:val="404040" w:themeColor="text1" w:themeTint="BF"/>
    </w:rPr>
  </w:style>
  <w:style w:type="character" w:customStyle="1" w:styleId="QuoteChar">
    <w:name w:val="Quote Char"/>
    <w:basedOn w:val="DefaultParagraphFont"/>
    <w:link w:val="Quote"/>
    <w:uiPriority w:val="29"/>
    <w:rsid w:val="006939CB"/>
    <w:rPr>
      <w:i/>
      <w:iCs/>
      <w:color w:val="404040" w:themeColor="text1" w:themeTint="BF"/>
    </w:rPr>
  </w:style>
  <w:style w:type="paragraph" w:styleId="ListParagraph">
    <w:name w:val="List Paragraph"/>
    <w:basedOn w:val="Normal"/>
    <w:uiPriority w:val="34"/>
    <w:qFormat/>
    <w:rsid w:val="006939CB"/>
    <w:pPr>
      <w:ind w:left="720"/>
      <w:contextualSpacing/>
    </w:pPr>
  </w:style>
  <w:style w:type="character" w:styleId="IntenseEmphasis">
    <w:name w:val="Intense Emphasis"/>
    <w:basedOn w:val="DefaultParagraphFont"/>
    <w:uiPriority w:val="21"/>
    <w:qFormat/>
    <w:rsid w:val="006939CB"/>
    <w:rPr>
      <w:i/>
      <w:iCs/>
      <w:color w:val="2F5496" w:themeColor="accent1" w:themeShade="BF"/>
    </w:rPr>
  </w:style>
  <w:style w:type="paragraph" w:styleId="IntenseQuote">
    <w:name w:val="Intense Quote"/>
    <w:basedOn w:val="Normal"/>
    <w:next w:val="Normal"/>
    <w:link w:val="IntenseQuoteChar"/>
    <w:uiPriority w:val="30"/>
    <w:qFormat/>
    <w:rsid w:val="00693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9CB"/>
    <w:rPr>
      <w:i/>
      <w:iCs/>
      <w:color w:val="2F5496" w:themeColor="accent1" w:themeShade="BF"/>
    </w:rPr>
  </w:style>
  <w:style w:type="character" w:styleId="IntenseReference">
    <w:name w:val="Intense Reference"/>
    <w:basedOn w:val="DefaultParagraphFont"/>
    <w:uiPriority w:val="32"/>
    <w:qFormat/>
    <w:rsid w:val="006939CB"/>
    <w:rPr>
      <w:b/>
      <w:bCs/>
      <w:smallCaps/>
      <w:color w:val="2F5496" w:themeColor="accent1" w:themeShade="BF"/>
      <w:spacing w:val="5"/>
    </w:rPr>
  </w:style>
  <w:style w:type="character" w:styleId="Hyperlink">
    <w:name w:val="Hyperlink"/>
    <w:basedOn w:val="DefaultParagraphFont"/>
    <w:uiPriority w:val="99"/>
    <w:unhideWhenUsed/>
    <w:rsid w:val="006939CB"/>
    <w:rPr>
      <w:color w:val="0563C1" w:themeColor="hyperlink"/>
      <w:u w:val="single"/>
    </w:rPr>
  </w:style>
  <w:style w:type="character" w:styleId="UnresolvedMention">
    <w:name w:val="Unresolved Mention"/>
    <w:basedOn w:val="DefaultParagraphFont"/>
    <w:uiPriority w:val="99"/>
    <w:semiHidden/>
    <w:unhideWhenUsed/>
    <w:rsid w:val="0069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2025-11-15T06:20:00Z</dcterms:created>
  <dcterms:modified xsi:type="dcterms:W3CDTF">2025-11-15T06:20:00Z</dcterms:modified>
</cp:coreProperties>
</file>