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599C"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CB70B8">
        <w:rPr>
          <w:rFonts w:ascii="Default Font" w:eastAsia="Times New Roman" w:hAnsi="Default Font" w:cs="Times New Roman"/>
          <w:color w:val="000000" w:themeColor="text1"/>
          <w:kern w:val="0"/>
          <w:sz w:val="36"/>
          <w:szCs w:val="36"/>
          <w14:ligatures w14:val="none"/>
        </w:rPr>
        <w:t>Date:-----------------</w:t>
      </w:r>
      <w:proofErr w:type="gramEnd"/>
    </w:p>
    <w:p w14:paraId="09739822"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To,</w:t>
      </w:r>
    </w:p>
    <w:p w14:paraId="329FF764"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The Assistant Commissioner,</w:t>
      </w:r>
    </w:p>
    <w:p w14:paraId="3DE28328"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GST Department,</w:t>
      </w:r>
    </w:p>
    <w:p w14:paraId="35CE687A"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[Location]</w:t>
      </w:r>
    </w:p>
    <w:p w14:paraId="4A8AED15"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Respected sir,</w:t>
      </w:r>
    </w:p>
    <w:p w14:paraId="4EB61386"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Ref: Show Cause Notice No. ---------------------- dated -------------------</w:t>
      </w:r>
    </w:p>
    <w:p w14:paraId="3A17CDCD"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Subject: Clarification on Commercial Discounts Provided by Supplier and Their GST Implications</w:t>
      </w:r>
    </w:p>
    <w:p w14:paraId="3E3F0E4F"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We refer to the Show Cause Notice referenced above, which states that the commercial discount provided by our supplier after achieving a particular target is classified as "other support service" and is liable for GST on a forward charge basis. We would like to respectfully submit our response to clarify our position on this matter.</w:t>
      </w:r>
    </w:p>
    <w:p w14:paraId="1414C890"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Nature of Commercial Discounts</w:t>
      </w:r>
    </w:p>
    <w:p w14:paraId="7C5F0A4F"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Commercial discounts are generally price reductions offered by suppliers to purchasers for various reasons, such as early payment, bulk purchases, or long-term business relationships. These discounts are a common commercial practice and are factored into the pricing structure agreed upon by both parties.</w:t>
      </w:r>
    </w:p>
    <w:p w14:paraId="651B7C45"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Legal Provisions and Interpretation</w:t>
      </w:r>
    </w:p>
    <w:p w14:paraId="6A7B61C5" w14:textId="7567CED1"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u w:val="single"/>
          <w14:ligatures w14:val="none"/>
        </w:rPr>
        <w:t>Section 15</w:t>
      </w:r>
      <w:r w:rsidRPr="00CB70B8">
        <w:rPr>
          <w:rFonts w:ascii="Default Font" w:eastAsia="Times New Roman" w:hAnsi="Default Font" w:cs="Times New Roman"/>
          <w:b/>
          <w:bCs/>
          <w:color w:val="000000" w:themeColor="text1"/>
          <w:kern w:val="0"/>
          <w:sz w:val="36"/>
          <w:szCs w:val="36"/>
          <w14:ligatures w14:val="none"/>
        </w:rPr>
        <w:t> of the CGST Act, 2017</w:t>
      </w:r>
    </w:p>
    <w:p w14:paraId="1A62A254" w14:textId="7E4E78C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lastRenderedPageBreak/>
        <w:t>As per </w:t>
      </w:r>
      <w:r w:rsidRPr="00CB70B8">
        <w:rPr>
          <w:rFonts w:ascii="Default Font" w:eastAsia="Times New Roman" w:hAnsi="Default Font" w:cs="Times New Roman"/>
          <w:b/>
          <w:bCs/>
          <w:color w:val="000000" w:themeColor="text1"/>
          <w:kern w:val="0"/>
          <w:sz w:val="36"/>
          <w:szCs w:val="36"/>
          <w:u w:val="single"/>
          <w14:ligatures w14:val="none"/>
        </w:rPr>
        <w:t>Section 15</w:t>
      </w:r>
      <w:r w:rsidRPr="00CB70B8">
        <w:rPr>
          <w:rFonts w:ascii="Default Font" w:eastAsia="Times New Roman" w:hAnsi="Default Font" w:cs="Times New Roman"/>
          <w:color w:val="000000" w:themeColor="text1"/>
          <w:kern w:val="0"/>
          <w:sz w:val="36"/>
          <w:szCs w:val="36"/>
          <w14:ligatures w14:val="none"/>
        </w:rPr>
        <w:t> of the Central Goods and Services Tax (CGST) Act, 2017, the value of supply is the transaction value, which is the price actually paid or payable for the supply of goods or services. Sub-section (3) of </w:t>
      </w:r>
      <w:r w:rsidRPr="00CB70B8">
        <w:rPr>
          <w:rFonts w:ascii="Default Font" w:eastAsia="Times New Roman" w:hAnsi="Default Font" w:cs="Times New Roman"/>
          <w:b/>
          <w:bCs/>
          <w:color w:val="000000" w:themeColor="text1"/>
          <w:kern w:val="0"/>
          <w:sz w:val="36"/>
          <w:szCs w:val="36"/>
          <w:u w:val="single"/>
          <w14:ligatures w14:val="none"/>
        </w:rPr>
        <w:t>Section 15</w:t>
      </w:r>
      <w:r w:rsidRPr="00CB70B8">
        <w:rPr>
          <w:rFonts w:ascii="Default Font" w:eastAsia="Times New Roman" w:hAnsi="Default Font" w:cs="Times New Roman"/>
          <w:color w:val="000000" w:themeColor="text1"/>
          <w:kern w:val="0"/>
          <w:sz w:val="36"/>
          <w:szCs w:val="36"/>
          <w14:ligatures w14:val="none"/>
        </w:rPr>
        <w:t> states:</w:t>
      </w:r>
    </w:p>
    <w:p w14:paraId="54FA293C"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"(a) before or at the time of supply if such discount has been duly recorded in the invoice issued in respect of such supply; and</w:t>
      </w:r>
    </w:p>
    <w:p w14:paraId="1C0CCFE5"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(b) after the supply has been effected, if such discount is established in terms of an agreement entered into at or before the time of such supply and specifically linked to relevant invoices."</w:t>
      </w:r>
    </w:p>
    <w:p w14:paraId="329049A7" w14:textId="5496D129"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Since discount provided by our supplier does not meet the criteria specified in </w:t>
      </w:r>
      <w:r w:rsidRPr="00CB70B8">
        <w:rPr>
          <w:rFonts w:ascii="Default Font" w:eastAsia="Times New Roman" w:hAnsi="Default Font" w:cs="Times New Roman"/>
          <w:b/>
          <w:bCs/>
          <w:color w:val="000000" w:themeColor="text1"/>
          <w:kern w:val="0"/>
          <w:sz w:val="36"/>
          <w:szCs w:val="36"/>
          <w:u w:val="single"/>
          <w14:ligatures w14:val="none"/>
        </w:rPr>
        <w:t>Section 15</w:t>
      </w:r>
      <w:r w:rsidRPr="00CB70B8">
        <w:rPr>
          <w:rFonts w:ascii="Default Font" w:eastAsia="Times New Roman" w:hAnsi="Default Font" w:cs="Times New Roman"/>
          <w:color w:val="000000" w:themeColor="text1"/>
          <w:kern w:val="0"/>
          <w:sz w:val="36"/>
          <w:szCs w:val="36"/>
          <w14:ligatures w14:val="none"/>
        </w:rPr>
        <w:t xml:space="preserve">(3) as it is </w:t>
      </w:r>
      <w:proofErr w:type="gramStart"/>
      <w:r w:rsidRPr="00CB70B8">
        <w:rPr>
          <w:rFonts w:ascii="Default Font" w:eastAsia="Times New Roman" w:hAnsi="Default Font" w:cs="Times New Roman"/>
          <w:color w:val="000000" w:themeColor="text1"/>
          <w:kern w:val="0"/>
          <w:sz w:val="36"/>
          <w:szCs w:val="36"/>
          <w14:ligatures w14:val="none"/>
        </w:rPr>
        <w:t>post</w:t>
      </w:r>
      <w:proofErr w:type="gramEnd"/>
      <w:r w:rsidRPr="00CB70B8">
        <w:rPr>
          <w:rFonts w:ascii="Default Font" w:eastAsia="Times New Roman" w:hAnsi="Default Font" w:cs="Times New Roman"/>
          <w:color w:val="000000" w:themeColor="text1"/>
          <w:kern w:val="0"/>
          <w:sz w:val="36"/>
          <w:szCs w:val="36"/>
          <w14:ligatures w14:val="none"/>
        </w:rPr>
        <w:t xml:space="preserve"> sale discount but in no </w:t>
      </w:r>
      <w:proofErr w:type="gramStart"/>
      <w:r w:rsidRPr="00CB70B8">
        <w:rPr>
          <w:rFonts w:ascii="Default Font" w:eastAsia="Times New Roman" w:hAnsi="Default Font" w:cs="Times New Roman"/>
          <w:color w:val="000000" w:themeColor="text1"/>
          <w:kern w:val="0"/>
          <w:sz w:val="36"/>
          <w:szCs w:val="36"/>
          <w14:ligatures w14:val="none"/>
        </w:rPr>
        <w:t>reason</w:t>
      </w:r>
      <w:proofErr w:type="gramEnd"/>
      <w:r w:rsidRPr="00CB70B8">
        <w:rPr>
          <w:rFonts w:ascii="Default Font" w:eastAsia="Times New Roman" w:hAnsi="Default Font" w:cs="Times New Roman"/>
          <w:color w:val="000000" w:themeColor="text1"/>
          <w:kern w:val="0"/>
          <w:sz w:val="36"/>
          <w:szCs w:val="36"/>
          <w14:ligatures w14:val="none"/>
        </w:rPr>
        <w:t xml:space="preserve"> it can be treated as a </w:t>
      </w:r>
      <w:proofErr w:type="gramStart"/>
      <w:r w:rsidRPr="00CB70B8">
        <w:rPr>
          <w:rFonts w:ascii="Default Font" w:eastAsia="Times New Roman" w:hAnsi="Default Font" w:cs="Times New Roman"/>
          <w:color w:val="000000" w:themeColor="text1"/>
          <w:kern w:val="0"/>
          <w:sz w:val="36"/>
          <w:szCs w:val="36"/>
          <w14:ligatures w14:val="none"/>
        </w:rPr>
        <w:t>services</w:t>
      </w:r>
      <w:proofErr w:type="gramEnd"/>
      <w:r w:rsidRPr="00CB70B8">
        <w:rPr>
          <w:rFonts w:ascii="Default Font" w:eastAsia="Times New Roman" w:hAnsi="Default Font" w:cs="Times New Roman"/>
          <w:color w:val="000000" w:themeColor="text1"/>
          <w:kern w:val="0"/>
          <w:sz w:val="36"/>
          <w:szCs w:val="36"/>
          <w14:ligatures w14:val="none"/>
        </w:rPr>
        <w:t xml:space="preserve"> provided by purchaser to seller and taxable under forward charge basis. No services are supplied by the purchaser, therefore, question of payment of tax does not arise.</w:t>
      </w:r>
    </w:p>
    <w:p w14:paraId="64664DC1"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Case Law: MRF Ltd. vs. Commissioner of Trade &amp; Taxes (2018)</w:t>
      </w:r>
    </w:p>
    <w:p w14:paraId="43C1C6E5" w14:textId="2A761FAA"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In the case of </w:t>
      </w:r>
      <w:r w:rsidRPr="00CB70B8">
        <w:rPr>
          <w:rFonts w:ascii="Default Font" w:eastAsia="Times New Roman" w:hAnsi="Default Font" w:cs="Times New Roman"/>
          <w:b/>
          <w:bCs/>
          <w:color w:val="000000" w:themeColor="text1"/>
          <w:kern w:val="0"/>
          <w:sz w:val="36"/>
          <w:szCs w:val="36"/>
          <w14:ligatures w14:val="none"/>
        </w:rPr>
        <w:t>MRF Ltd. vs. Commissioner of Trade &amp; Taxes </w:t>
      </w:r>
      <w:r w:rsidRPr="00CB70B8">
        <w:rPr>
          <w:rFonts w:ascii="Default Font" w:eastAsia="Times New Roman" w:hAnsi="Default Font" w:cs="Times New Roman"/>
          <w:b/>
          <w:bCs/>
          <w:color w:val="000000" w:themeColor="text1"/>
          <w:kern w:val="0"/>
          <w:sz w:val="36"/>
          <w:szCs w:val="36"/>
          <w:u w:val="single"/>
          <w14:ligatures w14:val="none"/>
        </w:rPr>
        <w:t>[2018] (DELHI)</w:t>
      </w:r>
      <w:r w:rsidRPr="00CB70B8">
        <w:rPr>
          <w:rFonts w:ascii="Default Font" w:eastAsia="Times New Roman" w:hAnsi="Default Font" w:cs="Times New Roman"/>
          <w:color w:val="000000" w:themeColor="text1"/>
          <w:kern w:val="0"/>
          <w:sz w:val="36"/>
          <w:szCs w:val="36"/>
          <w14:ligatures w14:val="none"/>
        </w:rPr>
        <w:t>, the Hon`ble High Court of Delhi ruled that discounts given after the supply, which are based on target achievements, are legitimate and do not constitute additional services. The court emphasized that such discounts are a part of the pricing strategy and not a separate consideration for services rendered.</w:t>
      </w:r>
    </w:p>
    <w:p w14:paraId="7BF81A9A"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Clarification on Support Services</w:t>
      </w:r>
    </w:p>
    <w:p w14:paraId="782176DC"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The assertion that the discount is an "additional service rendered by the purchaser to the supplier" misinterprets the nature of commercial discounts. These discounts are adjustments to the consideration for goods or services supplied and do not involve any service provided by us to the supplier.</w:t>
      </w:r>
    </w:p>
    <w:p w14:paraId="36D9CBEF" w14:textId="08481554"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Circular No. </w:t>
      </w:r>
      <w:r w:rsidRPr="00CB70B8">
        <w:rPr>
          <w:rFonts w:ascii="Default Font" w:eastAsia="Times New Roman" w:hAnsi="Default Font" w:cs="Times New Roman"/>
          <w:b/>
          <w:bCs/>
          <w:color w:val="000000" w:themeColor="text1"/>
          <w:kern w:val="0"/>
          <w:sz w:val="36"/>
          <w:szCs w:val="36"/>
          <w:u w:val="single"/>
          <w14:ligatures w14:val="none"/>
        </w:rPr>
        <w:t>92/11/2019</w:t>
      </w:r>
      <w:r w:rsidRPr="00CB70B8">
        <w:rPr>
          <w:rFonts w:ascii="Default Font" w:eastAsia="Times New Roman" w:hAnsi="Default Font" w:cs="Times New Roman"/>
          <w:b/>
          <w:bCs/>
          <w:color w:val="000000" w:themeColor="text1"/>
          <w:kern w:val="0"/>
          <w:sz w:val="36"/>
          <w:szCs w:val="36"/>
          <w14:ligatures w14:val="none"/>
        </w:rPr>
        <w:t>-GST dated 7th March 2019</w:t>
      </w:r>
    </w:p>
    <w:p w14:paraId="5C716CF5"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This circular clarifies the treatment of discounts under GST and reiterates that post-sale discounts, which are established before or at the time of supply and are linked to specific transactions, are to be deducted from the transaction value.</w:t>
      </w:r>
    </w:p>
    <w:p w14:paraId="066DEABE" w14:textId="3B59F233"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 xml:space="preserve">In this circular in Part D(iii) it is mentioned </w:t>
      </w:r>
      <w:proofErr w:type="gramStart"/>
      <w:r w:rsidRPr="00CB70B8">
        <w:rPr>
          <w:rFonts w:ascii="Default Font" w:eastAsia="Times New Roman" w:hAnsi="Default Font" w:cs="Times New Roman"/>
          <w:color w:val="000000" w:themeColor="text1"/>
          <w:kern w:val="0"/>
          <w:sz w:val="36"/>
          <w:szCs w:val="36"/>
          <w14:ligatures w14:val="none"/>
        </w:rPr>
        <w:t>that:-</w:t>
      </w:r>
      <w:proofErr w:type="gramEnd"/>
      <w:r w:rsidRPr="00CB70B8">
        <w:rPr>
          <w:rFonts w:ascii="Default Font" w:eastAsia="Times New Roman" w:hAnsi="Default Font" w:cs="Times New Roman"/>
          <w:color w:val="000000" w:themeColor="text1"/>
          <w:kern w:val="0"/>
          <w:sz w:val="36"/>
          <w:szCs w:val="36"/>
          <w14:ligatures w14:val="none"/>
        </w:rPr>
        <w:t xml:space="preserve"> Representations have been received from the trade and industry that whether Credit notes(s) under sub-section (1) of </w:t>
      </w:r>
      <w:r w:rsidRPr="00CB70B8">
        <w:rPr>
          <w:rFonts w:ascii="Default Font" w:eastAsia="Times New Roman" w:hAnsi="Default Font" w:cs="Times New Roman"/>
          <w:b/>
          <w:bCs/>
          <w:color w:val="000000" w:themeColor="text1"/>
          <w:kern w:val="0"/>
          <w:sz w:val="36"/>
          <w:szCs w:val="36"/>
          <w:u w:val="single"/>
          <w14:ligatures w14:val="none"/>
        </w:rPr>
        <w:t>section 34</w:t>
      </w:r>
      <w:r w:rsidRPr="00CB70B8">
        <w:rPr>
          <w:rFonts w:ascii="Default Font" w:eastAsia="Times New Roman" w:hAnsi="Default Font" w:cs="Times New Roman"/>
          <w:color w:val="000000" w:themeColor="text1"/>
          <w:kern w:val="0"/>
          <w:sz w:val="36"/>
          <w:szCs w:val="36"/>
          <w14:ligatures w14:val="none"/>
        </w:rPr>
        <w:t> of the said Act can be issued in such cases even if the conditions laid down in clause (b) of sub-section (3) of </w:t>
      </w:r>
      <w:r w:rsidRPr="00CB70B8">
        <w:rPr>
          <w:rFonts w:ascii="Default Font" w:eastAsia="Times New Roman" w:hAnsi="Default Font" w:cs="Times New Roman"/>
          <w:b/>
          <w:bCs/>
          <w:color w:val="000000" w:themeColor="text1"/>
          <w:kern w:val="0"/>
          <w:sz w:val="36"/>
          <w:szCs w:val="36"/>
          <w:u w:val="single"/>
          <w14:ligatures w14:val="none"/>
        </w:rPr>
        <w:t>Section 15</w:t>
      </w:r>
      <w:r w:rsidRPr="00CB70B8">
        <w:rPr>
          <w:rFonts w:ascii="Default Font" w:eastAsia="Times New Roman" w:hAnsi="Default Font" w:cs="Times New Roman"/>
          <w:color w:val="000000" w:themeColor="text1"/>
          <w:kern w:val="0"/>
          <w:sz w:val="36"/>
          <w:szCs w:val="36"/>
          <w14:ligatures w14:val="none"/>
        </w:rPr>
        <w:t> of the said Act are not satisfied. It is hereby clarified that financial / commercial Credit note(s) can be issued by the supplier even if the conditions mentioned in clause (b) of sub-section (3) of </w:t>
      </w:r>
      <w:r w:rsidRPr="00CB70B8">
        <w:rPr>
          <w:rFonts w:ascii="Default Font" w:eastAsia="Times New Roman" w:hAnsi="Default Font" w:cs="Times New Roman"/>
          <w:b/>
          <w:bCs/>
          <w:color w:val="000000" w:themeColor="text1"/>
          <w:kern w:val="0"/>
          <w:sz w:val="36"/>
          <w:szCs w:val="36"/>
          <w:u w:val="single"/>
          <w14:ligatures w14:val="none"/>
        </w:rPr>
        <w:t>Section 15</w:t>
      </w:r>
      <w:r w:rsidRPr="00CB70B8">
        <w:rPr>
          <w:rFonts w:ascii="Default Font" w:eastAsia="Times New Roman" w:hAnsi="Default Font" w:cs="Times New Roman"/>
          <w:color w:val="000000" w:themeColor="text1"/>
          <w:kern w:val="0"/>
          <w:sz w:val="36"/>
          <w:szCs w:val="36"/>
          <w14:ligatures w14:val="none"/>
        </w:rPr>
        <w:t xml:space="preserve"> of the said Act are not satisfied. In other words, </w:t>
      </w:r>
      <w:proofErr w:type="gramStart"/>
      <w:r w:rsidRPr="00CB70B8">
        <w:rPr>
          <w:rFonts w:ascii="Default Font" w:eastAsia="Times New Roman" w:hAnsi="Default Font" w:cs="Times New Roman"/>
          <w:color w:val="000000" w:themeColor="text1"/>
          <w:kern w:val="0"/>
          <w:sz w:val="36"/>
          <w:szCs w:val="36"/>
          <w14:ligatures w14:val="none"/>
        </w:rPr>
        <w:t>Credit</w:t>
      </w:r>
      <w:proofErr w:type="gramEnd"/>
      <w:r w:rsidRPr="00CB70B8">
        <w:rPr>
          <w:rFonts w:ascii="Default Font" w:eastAsia="Times New Roman" w:hAnsi="Default Font" w:cs="Times New Roman"/>
          <w:color w:val="000000" w:themeColor="text1"/>
          <w:kern w:val="0"/>
          <w:sz w:val="36"/>
          <w:szCs w:val="36"/>
          <w14:ligatures w14:val="none"/>
        </w:rPr>
        <w:t xml:space="preserve"> note(s) can be issued as a commercial transaction between the two contracting parties.</w:t>
      </w:r>
    </w:p>
    <w:p w14:paraId="41D3388A"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b/>
          <w:bCs/>
          <w:color w:val="000000" w:themeColor="text1"/>
          <w:kern w:val="0"/>
          <w:sz w:val="36"/>
          <w:szCs w:val="36"/>
          <w14:ligatures w14:val="none"/>
        </w:rPr>
        <w:t>Conclusion</w:t>
      </w:r>
    </w:p>
    <w:p w14:paraId="5F2CE4D7"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In light of the above provisions and judicial pronouncements, we respectfully submit that the commercial discount provided by our supplier should not be classified as an "other support service" and should not attract GST on a forward charge basis. The discount is a legitimate price adjustment based on pre-agreed terms and target achievements.</w:t>
      </w:r>
    </w:p>
    <w:p w14:paraId="5853FCB9"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We request you to kindly withdraw the Show Cause Notice and confirm that no GST liability arises on these discounts under the forward charge mechanism.</w:t>
      </w:r>
    </w:p>
    <w:p w14:paraId="29131F46"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We remain committed to full compliance with GST regulations and are available for any further discussions or clarifications that may be required.</w:t>
      </w:r>
    </w:p>
    <w:p w14:paraId="5DA380A4"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Thank you for your understanding and cooperation.</w:t>
      </w:r>
    </w:p>
    <w:p w14:paraId="648B06F7" w14:textId="77777777" w:rsidR="00CB70B8" w:rsidRPr="00CB70B8" w:rsidRDefault="00CB70B8" w:rsidP="00CB70B8">
      <w:pPr>
        <w:spacing w:after="150" w:line="408" w:lineRule="atLeast"/>
        <w:rPr>
          <w:rFonts w:ascii="Default Font" w:eastAsia="Times New Roman" w:hAnsi="Default Font" w:cs="Times New Roman"/>
          <w:color w:val="000000" w:themeColor="text1"/>
          <w:kern w:val="0"/>
          <w:sz w:val="36"/>
          <w:szCs w:val="36"/>
          <w14:ligatures w14:val="none"/>
        </w:rPr>
      </w:pPr>
      <w:r w:rsidRPr="00CB70B8">
        <w:rPr>
          <w:rFonts w:ascii="Default Font" w:eastAsia="Times New Roman" w:hAnsi="Default Font" w:cs="Times New Roman"/>
          <w:color w:val="000000" w:themeColor="text1"/>
          <w:kern w:val="0"/>
          <w:sz w:val="36"/>
          <w:szCs w:val="36"/>
          <w14:ligatures w14:val="none"/>
        </w:rPr>
        <w:t>Yours sincerely,</w:t>
      </w:r>
    </w:p>
    <w:p w14:paraId="2F826018" w14:textId="75D10199" w:rsidR="005237F3" w:rsidRPr="0056450A" w:rsidRDefault="00CB70B8" w:rsidP="00CB70B8">
      <w:pPr>
        <w:rPr>
          <w:color w:val="000000" w:themeColor="text1"/>
        </w:rPr>
      </w:pPr>
      <w:r w:rsidRPr="00CB70B8">
        <w:rPr>
          <w:rFonts w:ascii="Default Font" w:eastAsia="Times New Roman" w:hAnsi="Default Font" w:cs="Times New Roman"/>
          <w:color w:val="000000" w:themeColor="text1"/>
          <w:kern w:val="0"/>
          <w:sz w:val="36"/>
          <w:szCs w:val="36"/>
          <w14:ligatures w14:val="none"/>
        </w:rPr>
        <w:t>[Your Company Name]</w:t>
      </w:r>
    </w:p>
    <w:sectPr w:rsidR="005237F3" w:rsidRPr="00564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B8"/>
    <w:rsid w:val="00031CAE"/>
    <w:rsid w:val="00447B58"/>
    <w:rsid w:val="005237F3"/>
    <w:rsid w:val="0056450A"/>
    <w:rsid w:val="00C91E19"/>
    <w:rsid w:val="00CB70B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C43A"/>
  <w15:chartTrackingRefBased/>
  <w15:docId w15:val="{ACCA1F70-B15C-47F3-A1EB-12660E3E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0B8"/>
    <w:rPr>
      <w:rFonts w:eastAsiaTheme="majorEastAsia" w:cstheme="majorBidi"/>
      <w:color w:val="272727" w:themeColor="text1" w:themeTint="D8"/>
    </w:rPr>
  </w:style>
  <w:style w:type="paragraph" w:styleId="Title">
    <w:name w:val="Title"/>
    <w:basedOn w:val="Normal"/>
    <w:next w:val="Normal"/>
    <w:link w:val="TitleChar"/>
    <w:uiPriority w:val="10"/>
    <w:qFormat/>
    <w:rsid w:val="00CB7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B8"/>
    <w:pPr>
      <w:spacing w:before="160"/>
      <w:jc w:val="center"/>
    </w:pPr>
    <w:rPr>
      <w:i/>
      <w:iCs/>
      <w:color w:val="404040" w:themeColor="text1" w:themeTint="BF"/>
    </w:rPr>
  </w:style>
  <w:style w:type="character" w:customStyle="1" w:styleId="QuoteChar">
    <w:name w:val="Quote Char"/>
    <w:basedOn w:val="DefaultParagraphFont"/>
    <w:link w:val="Quote"/>
    <w:uiPriority w:val="29"/>
    <w:rsid w:val="00CB70B8"/>
    <w:rPr>
      <w:i/>
      <w:iCs/>
      <w:color w:val="404040" w:themeColor="text1" w:themeTint="BF"/>
    </w:rPr>
  </w:style>
  <w:style w:type="paragraph" w:styleId="ListParagraph">
    <w:name w:val="List Paragraph"/>
    <w:basedOn w:val="Normal"/>
    <w:uiPriority w:val="34"/>
    <w:qFormat/>
    <w:rsid w:val="00CB70B8"/>
    <w:pPr>
      <w:ind w:left="720"/>
      <w:contextualSpacing/>
    </w:pPr>
  </w:style>
  <w:style w:type="character" w:styleId="IntenseEmphasis">
    <w:name w:val="Intense Emphasis"/>
    <w:basedOn w:val="DefaultParagraphFont"/>
    <w:uiPriority w:val="21"/>
    <w:qFormat/>
    <w:rsid w:val="00CB70B8"/>
    <w:rPr>
      <w:i/>
      <w:iCs/>
      <w:color w:val="2F5496" w:themeColor="accent1" w:themeShade="BF"/>
    </w:rPr>
  </w:style>
  <w:style w:type="paragraph" w:styleId="IntenseQuote">
    <w:name w:val="Intense Quote"/>
    <w:basedOn w:val="Normal"/>
    <w:next w:val="Normal"/>
    <w:link w:val="IntenseQuoteChar"/>
    <w:uiPriority w:val="30"/>
    <w:qFormat/>
    <w:rsid w:val="00CB7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0B8"/>
    <w:rPr>
      <w:i/>
      <w:iCs/>
      <w:color w:val="2F5496" w:themeColor="accent1" w:themeShade="BF"/>
    </w:rPr>
  </w:style>
  <w:style w:type="character" w:styleId="IntenseReference">
    <w:name w:val="Intense Reference"/>
    <w:basedOn w:val="DefaultParagraphFont"/>
    <w:uiPriority w:val="32"/>
    <w:qFormat/>
    <w:rsid w:val="00CB70B8"/>
    <w:rPr>
      <w:b/>
      <w:bCs/>
      <w:smallCaps/>
      <w:color w:val="2F5496" w:themeColor="accent1" w:themeShade="BF"/>
      <w:spacing w:val="5"/>
    </w:rPr>
  </w:style>
  <w:style w:type="paragraph" w:styleId="NormalWeb">
    <w:name w:val="Normal (Web)"/>
    <w:basedOn w:val="Normal"/>
    <w:uiPriority w:val="99"/>
    <w:semiHidden/>
    <w:unhideWhenUsed/>
    <w:rsid w:val="00CB70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70B8"/>
    <w:rPr>
      <w:b/>
      <w:bCs/>
    </w:rPr>
  </w:style>
  <w:style w:type="character" w:styleId="Hyperlink">
    <w:name w:val="Hyperlink"/>
    <w:basedOn w:val="DefaultParagraphFont"/>
    <w:uiPriority w:val="99"/>
    <w:semiHidden/>
    <w:unhideWhenUsed/>
    <w:rsid w:val="00CB7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2025-10-30T11:05:00Z</dcterms:created>
  <dcterms:modified xsi:type="dcterms:W3CDTF">2025-10-30T11:10:00Z</dcterms:modified>
</cp:coreProperties>
</file>