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75563" w14:textId="77777777" w:rsidR="009C34AB" w:rsidRPr="009C34AB" w:rsidRDefault="009C34AB" w:rsidP="009C34AB">
      <w:pPr>
        <w:spacing w:after="150" w:line="408" w:lineRule="atLeast"/>
        <w:rPr>
          <w:rFonts w:ascii="Default Font" w:eastAsia="Times New Roman" w:hAnsi="Default Font" w:cs="Times New Roman"/>
          <w:color w:val="000000" w:themeColor="text1"/>
          <w:kern w:val="0"/>
          <w:sz w:val="36"/>
          <w:szCs w:val="36"/>
          <w14:ligatures w14:val="none"/>
        </w:rPr>
      </w:pPr>
      <w:r w:rsidRPr="009C34AB">
        <w:rPr>
          <w:rFonts w:ascii="Default Font" w:eastAsia="Times New Roman" w:hAnsi="Default Font" w:cs="Times New Roman"/>
          <w:b/>
          <w:bCs/>
          <w:color w:val="000000" w:themeColor="text1"/>
          <w:kern w:val="0"/>
          <w:sz w:val="36"/>
          <w:szCs w:val="36"/>
          <w14:ligatures w14:val="none"/>
        </w:rPr>
        <w:t>To,</w:t>
      </w:r>
    </w:p>
    <w:p w14:paraId="5E03C002" w14:textId="77777777" w:rsidR="009C34AB" w:rsidRPr="009C34AB" w:rsidRDefault="009C34AB" w:rsidP="009C34AB">
      <w:pPr>
        <w:spacing w:after="150" w:line="408" w:lineRule="atLeast"/>
        <w:rPr>
          <w:rFonts w:ascii="Default Font" w:eastAsia="Times New Roman" w:hAnsi="Default Font" w:cs="Times New Roman"/>
          <w:color w:val="000000" w:themeColor="text1"/>
          <w:kern w:val="0"/>
          <w:sz w:val="36"/>
          <w:szCs w:val="36"/>
          <w14:ligatures w14:val="none"/>
        </w:rPr>
      </w:pPr>
      <w:r w:rsidRPr="009C34AB">
        <w:rPr>
          <w:rFonts w:ascii="Default Font" w:eastAsia="Times New Roman" w:hAnsi="Default Font" w:cs="Times New Roman"/>
          <w:color w:val="000000" w:themeColor="text1"/>
          <w:kern w:val="0"/>
          <w:sz w:val="36"/>
          <w:szCs w:val="36"/>
          <w14:ligatures w14:val="none"/>
        </w:rPr>
        <w:t>The Assessing Officer,</w:t>
      </w:r>
    </w:p>
    <w:p w14:paraId="50E9EF1B" w14:textId="77777777" w:rsidR="009C34AB" w:rsidRPr="009C34AB" w:rsidRDefault="009C34AB" w:rsidP="009C34AB">
      <w:pPr>
        <w:spacing w:after="150" w:line="408" w:lineRule="atLeast"/>
        <w:rPr>
          <w:rFonts w:ascii="Default Font" w:eastAsia="Times New Roman" w:hAnsi="Default Font" w:cs="Times New Roman"/>
          <w:color w:val="000000" w:themeColor="text1"/>
          <w:kern w:val="0"/>
          <w:sz w:val="36"/>
          <w:szCs w:val="36"/>
          <w14:ligatures w14:val="none"/>
        </w:rPr>
      </w:pPr>
      <w:r w:rsidRPr="009C34AB">
        <w:rPr>
          <w:rFonts w:ascii="Default Font" w:eastAsia="Times New Roman" w:hAnsi="Default Font" w:cs="Times New Roman"/>
          <w:color w:val="000000" w:themeColor="text1"/>
          <w:kern w:val="0"/>
          <w:sz w:val="36"/>
          <w:szCs w:val="36"/>
          <w14:ligatures w14:val="none"/>
        </w:rPr>
        <w:t>-------------------------------</w:t>
      </w:r>
    </w:p>
    <w:p w14:paraId="3986CB9B" w14:textId="77777777" w:rsidR="009C34AB" w:rsidRPr="009C34AB" w:rsidRDefault="009C34AB" w:rsidP="009C34AB">
      <w:pPr>
        <w:spacing w:after="150" w:line="408" w:lineRule="atLeast"/>
        <w:rPr>
          <w:rFonts w:ascii="Default Font" w:eastAsia="Times New Roman" w:hAnsi="Default Font" w:cs="Times New Roman"/>
          <w:color w:val="000000" w:themeColor="text1"/>
          <w:kern w:val="0"/>
          <w:sz w:val="36"/>
          <w:szCs w:val="36"/>
          <w14:ligatures w14:val="none"/>
        </w:rPr>
      </w:pPr>
      <w:r w:rsidRPr="009C34AB">
        <w:rPr>
          <w:rFonts w:ascii="Default Font" w:eastAsia="Times New Roman" w:hAnsi="Default Font" w:cs="Times New Roman"/>
          <w:color w:val="000000" w:themeColor="text1"/>
          <w:kern w:val="0"/>
          <w:sz w:val="36"/>
          <w:szCs w:val="36"/>
          <w14:ligatures w14:val="none"/>
        </w:rPr>
        <w:t>------------------------------</w:t>
      </w:r>
    </w:p>
    <w:p w14:paraId="033DC943" w14:textId="77777777" w:rsidR="009C34AB" w:rsidRPr="009C34AB" w:rsidRDefault="009C34AB" w:rsidP="009C34AB">
      <w:pPr>
        <w:spacing w:after="150" w:line="408" w:lineRule="atLeast"/>
        <w:rPr>
          <w:rFonts w:ascii="Default Font" w:eastAsia="Times New Roman" w:hAnsi="Default Font" w:cs="Times New Roman"/>
          <w:color w:val="000000" w:themeColor="text1"/>
          <w:kern w:val="0"/>
          <w:sz w:val="36"/>
          <w:szCs w:val="36"/>
          <w14:ligatures w14:val="none"/>
        </w:rPr>
      </w:pPr>
      <w:r w:rsidRPr="009C34AB">
        <w:rPr>
          <w:rFonts w:ascii="Default Font" w:eastAsia="Times New Roman" w:hAnsi="Default Font" w:cs="Times New Roman"/>
          <w:b/>
          <w:bCs/>
          <w:color w:val="000000" w:themeColor="text1"/>
          <w:kern w:val="0"/>
          <w:sz w:val="36"/>
          <w:szCs w:val="36"/>
          <w14:ligatures w14:val="none"/>
        </w:rPr>
        <w:t>Subject:</w:t>
      </w:r>
      <w:r w:rsidRPr="009C34AB">
        <w:rPr>
          <w:rFonts w:ascii="Default Font" w:eastAsia="Times New Roman" w:hAnsi="Default Font" w:cs="Times New Roman"/>
          <w:color w:val="000000" w:themeColor="text1"/>
          <w:kern w:val="0"/>
          <w:sz w:val="36"/>
          <w:szCs w:val="36"/>
          <w14:ligatures w14:val="none"/>
        </w:rPr>
        <w:t> Reply Against Denial of Refund on Grounds of Time Bar – Refund of Output Tax Paid Twice</w:t>
      </w:r>
    </w:p>
    <w:p w14:paraId="745EBB8B" w14:textId="77777777" w:rsidR="009C34AB" w:rsidRPr="009C34AB" w:rsidRDefault="009C34AB" w:rsidP="009C34AB">
      <w:pPr>
        <w:spacing w:after="150" w:line="408" w:lineRule="atLeast"/>
        <w:rPr>
          <w:rFonts w:ascii="Default Font" w:eastAsia="Times New Roman" w:hAnsi="Default Font" w:cs="Times New Roman"/>
          <w:color w:val="000000" w:themeColor="text1"/>
          <w:kern w:val="0"/>
          <w:sz w:val="36"/>
          <w:szCs w:val="36"/>
          <w14:ligatures w14:val="none"/>
        </w:rPr>
      </w:pPr>
      <w:r w:rsidRPr="009C34AB">
        <w:rPr>
          <w:rFonts w:ascii="Default Font" w:eastAsia="Times New Roman" w:hAnsi="Default Font" w:cs="Times New Roman"/>
          <w:b/>
          <w:bCs/>
          <w:color w:val="000000" w:themeColor="text1"/>
          <w:kern w:val="0"/>
          <w:sz w:val="36"/>
          <w:szCs w:val="36"/>
          <w14:ligatures w14:val="none"/>
        </w:rPr>
        <w:t>Respected Sir,</w:t>
      </w:r>
    </w:p>
    <w:p w14:paraId="714DCA24" w14:textId="263D8BD8" w:rsidR="009C34AB" w:rsidRPr="009C34AB" w:rsidRDefault="009C34AB" w:rsidP="009C34AB">
      <w:pPr>
        <w:spacing w:after="150" w:line="408" w:lineRule="atLeast"/>
        <w:rPr>
          <w:rFonts w:ascii="Default Font" w:eastAsia="Times New Roman" w:hAnsi="Default Font" w:cs="Times New Roman"/>
          <w:color w:val="000000" w:themeColor="text1"/>
          <w:kern w:val="0"/>
          <w:sz w:val="36"/>
          <w:szCs w:val="36"/>
          <w14:ligatures w14:val="none"/>
        </w:rPr>
      </w:pPr>
      <w:r w:rsidRPr="009C34AB">
        <w:rPr>
          <w:rFonts w:ascii="Default Font" w:eastAsia="Times New Roman" w:hAnsi="Default Font" w:cs="Times New Roman"/>
          <w:color w:val="000000" w:themeColor="text1"/>
          <w:kern w:val="0"/>
          <w:sz w:val="36"/>
          <w:szCs w:val="36"/>
          <w14:ligatures w14:val="none"/>
        </w:rPr>
        <w:t>With reference to your order rejecting the refund claim on the grounds of </w:t>
      </w:r>
      <w:r w:rsidRPr="009C34AB">
        <w:rPr>
          <w:rFonts w:ascii="Default Font" w:eastAsia="Times New Roman" w:hAnsi="Default Font" w:cs="Times New Roman"/>
          <w:b/>
          <w:bCs/>
          <w:color w:val="000000" w:themeColor="text1"/>
          <w:kern w:val="0"/>
          <w:sz w:val="36"/>
          <w:szCs w:val="36"/>
          <w14:ligatures w14:val="none"/>
        </w:rPr>
        <w:t>time limitation under </w:t>
      </w:r>
      <w:r w:rsidRPr="009C34AB">
        <w:rPr>
          <w:rFonts w:ascii="Default Font" w:eastAsia="Times New Roman" w:hAnsi="Default Font" w:cs="Times New Roman"/>
          <w:b/>
          <w:bCs/>
          <w:color w:val="000000" w:themeColor="text1"/>
          <w:kern w:val="0"/>
          <w:sz w:val="36"/>
          <w:szCs w:val="36"/>
          <w:u w:val="single"/>
          <w14:ligatures w14:val="none"/>
        </w:rPr>
        <w:t>Section 54</w:t>
      </w:r>
      <w:r w:rsidRPr="009C34AB">
        <w:rPr>
          <w:rFonts w:ascii="Default Font" w:eastAsia="Times New Roman" w:hAnsi="Default Font" w:cs="Times New Roman"/>
          <w:b/>
          <w:bCs/>
          <w:color w:val="000000" w:themeColor="text1"/>
          <w:kern w:val="0"/>
          <w:sz w:val="36"/>
          <w:szCs w:val="36"/>
          <w14:ligatures w14:val="none"/>
        </w:rPr>
        <w:t> of the CGST Act, 2017</w:t>
      </w:r>
      <w:r w:rsidRPr="009C34AB">
        <w:rPr>
          <w:rFonts w:ascii="Default Font" w:eastAsia="Times New Roman" w:hAnsi="Default Font" w:cs="Times New Roman"/>
          <w:color w:val="000000" w:themeColor="text1"/>
          <w:kern w:val="0"/>
          <w:sz w:val="36"/>
          <w:szCs w:val="36"/>
          <w14:ligatures w14:val="none"/>
        </w:rPr>
        <w:t>, we hereby submit our response for reconsideration of the claim:</w:t>
      </w:r>
    </w:p>
    <w:p w14:paraId="5050C794" w14:textId="77777777" w:rsidR="009C34AB" w:rsidRPr="009C34AB" w:rsidRDefault="009C34AB" w:rsidP="009C34AB">
      <w:pPr>
        <w:spacing w:after="150" w:line="408" w:lineRule="atLeast"/>
        <w:rPr>
          <w:rFonts w:ascii="Default Font" w:eastAsia="Times New Roman" w:hAnsi="Default Font" w:cs="Times New Roman"/>
          <w:color w:val="000000" w:themeColor="text1"/>
          <w:kern w:val="0"/>
          <w:sz w:val="36"/>
          <w:szCs w:val="36"/>
          <w14:ligatures w14:val="none"/>
        </w:rPr>
      </w:pPr>
      <w:r w:rsidRPr="009C34AB">
        <w:rPr>
          <w:rFonts w:ascii="Default Font" w:eastAsia="Times New Roman" w:hAnsi="Default Font" w:cs="Times New Roman"/>
          <w:b/>
          <w:bCs/>
          <w:color w:val="000000" w:themeColor="text1"/>
          <w:kern w:val="0"/>
          <w:sz w:val="36"/>
          <w:szCs w:val="36"/>
          <w14:ligatures w14:val="none"/>
        </w:rPr>
        <w:t>1. Nature of Refund Claim – Not ITC Refund, But Output Tax Paid Twice</w:t>
      </w:r>
    </w:p>
    <w:p w14:paraId="46056663" w14:textId="77777777" w:rsidR="009C34AB" w:rsidRPr="009C34AB" w:rsidRDefault="009C34AB" w:rsidP="009C34AB">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9C34AB">
        <w:rPr>
          <w:rFonts w:ascii="Default Font" w:eastAsia="Times New Roman" w:hAnsi="Default Font" w:cs="Times New Roman"/>
          <w:color w:val="000000" w:themeColor="text1"/>
          <w:kern w:val="0"/>
          <w:sz w:val="36"/>
          <w:szCs w:val="36"/>
          <w14:ligatures w14:val="none"/>
        </w:rPr>
        <w:t>It is important to clarify that our refund claim is not related to the refund of Input Tax Credit (ITC), but rather pertains to the excess payment of output tax due to inadvertent double payment.</w:t>
      </w:r>
    </w:p>
    <w:p w14:paraId="5835B3D6" w14:textId="1CDDB9C6" w:rsidR="009C34AB" w:rsidRPr="009C34AB" w:rsidRDefault="009C34AB" w:rsidP="009C34AB">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9C34AB">
        <w:rPr>
          <w:rFonts w:ascii="Default Font" w:eastAsia="Times New Roman" w:hAnsi="Default Font" w:cs="Times New Roman"/>
          <w:b/>
          <w:bCs/>
          <w:color w:val="000000" w:themeColor="text1"/>
          <w:kern w:val="0"/>
          <w:sz w:val="36"/>
          <w:szCs w:val="36"/>
          <w:u w:val="single"/>
          <w14:ligatures w14:val="none"/>
        </w:rPr>
        <w:t>Section 54</w:t>
      </w:r>
      <w:r w:rsidRPr="009C34AB">
        <w:rPr>
          <w:rFonts w:ascii="Default Font" w:eastAsia="Times New Roman" w:hAnsi="Default Font" w:cs="Times New Roman"/>
          <w:color w:val="000000" w:themeColor="text1"/>
          <w:kern w:val="0"/>
          <w:sz w:val="36"/>
          <w:szCs w:val="36"/>
          <w14:ligatures w14:val="none"/>
        </w:rPr>
        <w:t> of the CGST Act, 2017, primarily deals with ITC refunds and other specific refund cases, whereas excess payment of tax should be considered under the principles of natural justice and the right to claim back an erroneously paid amount.</w:t>
      </w:r>
    </w:p>
    <w:p w14:paraId="1F410AB6" w14:textId="72ED6181" w:rsidR="009C34AB" w:rsidRPr="009C34AB" w:rsidRDefault="009C34AB" w:rsidP="009C34AB">
      <w:pPr>
        <w:spacing w:after="150" w:line="408" w:lineRule="atLeast"/>
        <w:rPr>
          <w:rFonts w:ascii="Default Font" w:eastAsia="Times New Roman" w:hAnsi="Default Font" w:cs="Times New Roman"/>
          <w:color w:val="000000" w:themeColor="text1"/>
          <w:kern w:val="0"/>
          <w:sz w:val="36"/>
          <w:szCs w:val="36"/>
          <w14:ligatures w14:val="none"/>
        </w:rPr>
      </w:pPr>
      <w:r w:rsidRPr="009C34AB">
        <w:rPr>
          <w:rFonts w:ascii="Default Font" w:eastAsia="Times New Roman" w:hAnsi="Default Font" w:cs="Times New Roman"/>
          <w:b/>
          <w:bCs/>
          <w:color w:val="000000" w:themeColor="text1"/>
          <w:kern w:val="0"/>
          <w:sz w:val="36"/>
          <w:szCs w:val="36"/>
          <w14:ligatures w14:val="none"/>
        </w:rPr>
        <w:t>2. Wrongful Application of Time Limitation Under </w:t>
      </w:r>
      <w:r w:rsidRPr="009C34AB">
        <w:rPr>
          <w:rFonts w:ascii="Default Font" w:eastAsia="Times New Roman" w:hAnsi="Default Font" w:cs="Times New Roman"/>
          <w:b/>
          <w:bCs/>
          <w:color w:val="000000" w:themeColor="text1"/>
          <w:kern w:val="0"/>
          <w:sz w:val="36"/>
          <w:szCs w:val="36"/>
          <w:u w:val="single"/>
          <w14:ligatures w14:val="none"/>
        </w:rPr>
        <w:t>Section 54</w:t>
      </w:r>
    </w:p>
    <w:p w14:paraId="1D44A629" w14:textId="49D23D6C" w:rsidR="009C34AB" w:rsidRPr="009C34AB" w:rsidRDefault="009C34AB" w:rsidP="009C34AB">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9C34AB">
        <w:rPr>
          <w:rFonts w:ascii="Default Font" w:eastAsia="Times New Roman" w:hAnsi="Default Font" w:cs="Times New Roman"/>
          <w:color w:val="000000" w:themeColor="text1"/>
          <w:kern w:val="0"/>
          <w:sz w:val="36"/>
          <w:szCs w:val="36"/>
          <w14:ligatures w14:val="none"/>
        </w:rPr>
        <w:t>The </w:t>
      </w:r>
      <w:r w:rsidRPr="009C34AB">
        <w:rPr>
          <w:rFonts w:ascii="Default Font" w:eastAsia="Times New Roman" w:hAnsi="Default Font" w:cs="Times New Roman"/>
          <w:b/>
          <w:bCs/>
          <w:color w:val="000000" w:themeColor="text1"/>
          <w:kern w:val="0"/>
          <w:sz w:val="36"/>
          <w:szCs w:val="36"/>
          <w14:ligatures w14:val="none"/>
        </w:rPr>
        <w:t>time limit prescribed under </w:t>
      </w:r>
      <w:r w:rsidRPr="009C34AB">
        <w:rPr>
          <w:rFonts w:ascii="Default Font" w:eastAsia="Times New Roman" w:hAnsi="Default Font" w:cs="Times New Roman"/>
          <w:b/>
          <w:bCs/>
          <w:color w:val="000000" w:themeColor="text1"/>
          <w:kern w:val="0"/>
          <w:sz w:val="36"/>
          <w:szCs w:val="36"/>
          <w:u w:val="single"/>
          <w14:ligatures w14:val="none"/>
        </w:rPr>
        <w:t>Section 54</w:t>
      </w:r>
      <w:r w:rsidRPr="009C34AB">
        <w:rPr>
          <w:rFonts w:ascii="Default Font" w:eastAsia="Times New Roman" w:hAnsi="Default Font" w:cs="Times New Roman"/>
          <w:color w:val="000000" w:themeColor="text1"/>
          <w:kern w:val="0"/>
          <w:sz w:val="36"/>
          <w:szCs w:val="36"/>
          <w14:ligatures w14:val="none"/>
        </w:rPr>
        <w:t> should not be rigidly applied to </w:t>
      </w:r>
      <w:r w:rsidRPr="009C34AB">
        <w:rPr>
          <w:rFonts w:ascii="Default Font" w:eastAsia="Times New Roman" w:hAnsi="Default Font" w:cs="Times New Roman"/>
          <w:b/>
          <w:bCs/>
          <w:color w:val="000000" w:themeColor="text1"/>
          <w:kern w:val="0"/>
          <w:sz w:val="36"/>
          <w:szCs w:val="36"/>
          <w14:ligatures w14:val="none"/>
        </w:rPr>
        <w:t>cases of </w:t>
      </w:r>
      <w:r w:rsidRPr="009C34AB">
        <w:rPr>
          <w:rFonts w:ascii="Default Font" w:eastAsia="Times New Roman" w:hAnsi="Default Font" w:cs="Times New Roman"/>
          <w:color w:val="000000" w:themeColor="text1"/>
          <w:kern w:val="0"/>
          <w:sz w:val="36"/>
          <w:szCs w:val="36"/>
          <w14:ligatures w14:val="none"/>
        </w:rPr>
        <w:t xml:space="preserve">excess tax paid, as this </w:t>
      </w:r>
      <w:r w:rsidRPr="009C34AB">
        <w:rPr>
          <w:rFonts w:ascii="Default Font" w:eastAsia="Times New Roman" w:hAnsi="Default Font" w:cs="Times New Roman"/>
          <w:color w:val="000000" w:themeColor="text1"/>
          <w:kern w:val="0"/>
          <w:sz w:val="36"/>
          <w:szCs w:val="36"/>
          <w14:ligatures w14:val="none"/>
        </w:rPr>
        <w:lastRenderedPageBreak/>
        <w:t>results in unjust enrichment of the government and violates the fundamental principles of taxation.</w:t>
      </w:r>
    </w:p>
    <w:p w14:paraId="6DA735A7" w14:textId="222A9CDD" w:rsidR="009C34AB" w:rsidRPr="009C34AB" w:rsidRDefault="009C34AB" w:rsidP="009C34AB">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9C34AB">
        <w:rPr>
          <w:rFonts w:ascii="Default Font" w:eastAsia="Times New Roman" w:hAnsi="Default Font" w:cs="Times New Roman"/>
          <w:color w:val="000000" w:themeColor="text1"/>
          <w:kern w:val="0"/>
          <w:sz w:val="36"/>
          <w:szCs w:val="36"/>
          <w14:ligatures w14:val="none"/>
        </w:rPr>
        <w:t>The Hon’ble Jharkhand High Court in </w:t>
      </w:r>
      <w:r w:rsidRPr="009C34AB">
        <w:rPr>
          <w:rFonts w:ascii="Default Font" w:eastAsia="Times New Roman" w:hAnsi="Default Font" w:cs="Times New Roman"/>
          <w:b/>
          <w:bCs/>
          <w:color w:val="000000" w:themeColor="text1"/>
          <w:kern w:val="0"/>
          <w:sz w:val="36"/>
          <w:szCs w:val="36"/>
          <w14:ligatures w14:val="none"/>
        </w:rPr>
        <w:t>BLA Infrastructure Limited </w:t>
      </w:r>
      <w:r w:rsidRPr="009C34AB">
        <w:rPr>
          <w:rFonts w:ascii="Default Font" w:eastAsia="Times New Roman" w:hAnsi="Default Font" w:cs="Times New Roman"/>
          <w:b/>
          <w:bCs/>
          <w:color w:val="000000" w:themeColor="text1"/>
          <w:kern w:val="0"/>
          <w:sz w:val="36"/>
          <w:szCs w:val="36"/>
          <w:u w:val="single"/>
          <w14:ligatures w14:val="none"/>
        </w:rPr>
        <w:t>[2025] (Jharkhand)</w:t>
      </w:r>
      <w:r w:rsidRPr="009C34AB">
        <w:rPr>
          <w:rFonts w:ascii="Default Font" w:eastAsia="Times New Roman" w:hAnsi="Default Font" w:cs="Times New Roman"/>
          <w:color w:val="000000" w:themeColor="text1"/>
          <w:kern w:val="0"/>
          <w:sz w:val="36"/>
          <w:szCs w:val="36"/>
          <w14:ligatures w14:val="none"/>
        </w:rPr>
        <w:t> has clearly held that refund applications should not be strictly bound by the two-year limitation under </w:t>
      </w:r>
      <w:r w:rsidRPr="009C34AB">
        <w:rPr>
          <w:rFonts w:ascii="Default Font" w:eastAsia="Times New Roman" w:hAnsi="Default Font" w:cs="Times New Roman"/>
          <w:b/>
          <w:bCs/>
          <w:color w:val="000000" w:themeColor="text1"/>
          <w:kern w:val="0"/>
          <w:sz w:val="36"/>
          <w:szCs w:val="36"/>
          <w:u w:val="single"/>
          <w14:ligatures w14:val="none"/>
        </w:rPr>
        <w:t>Section 54</w:t>
      </w:r>
      <w:r w:rsidRPr="009C34AB">
        <w:rPr>
          <w:rFonts w:ascii="Default Font" w:eastAsia="Times New Roman" w:hAnsi="Default Font" w:cs="Times New Roman"/>
          <w:color w:val="000000" w:themeColor="text1"/>
          <w:kern w:val="0"/>
          <w:sz w:val="36"/>
          <w:szCs w:val="36"/>
          <w14:ligatures w14:val="none"/>
        </w:rPr>
        <w:t>, particularly in cases where tax was paid under protest or due to an error.</w:t>
      </w:r>
    </w:p>
    <w:p w14:paraId="42C241CD" w14:textId="77777777" w:rsidR="009C34AB" w:rsidRPr="009C34AB" w:rsidRDefault="009C34AB" w:rsidP="009C34AB">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9C34AB">
        <w:rPr>
          <w:rFonts w:ascii="Default Font" w:eastAsia="Times New Roman" w:hAnsi="Default Font" w:cs="Times New Roman"/>
          <w:color w:val="000000" w:themeColor="text1"/>
          <w:kern w:val="0"/>
          <w:sz w:val="36"/>
          <w:szCs w:val="36"/>
          <w14:ligatures w14:val="none"/>
        </w:rPr>
        <w:t>In this case, the court quashed the rejection of the refund application on time-barred grounds and directed the department to process the refund with interest.</w:t>
      </w:r>
    </w:p>
    <w:p w14:paraId="3163324F" w14:textId="77777777" w:rsidR="009C34AB" w:rsidRPr="009C34AB" w:rsidRDefault="009C34AB" w:rsidP="009C34AB">
      <w:pPr>
        <w:spacing w:after="150" w:line="408" w:lineRule="atLeast"/>
        <w:rPr>
          <w:rFonts w:ascii="Default Font" w:eastAsia="Times New Roman" w:hAnsi="Default Font" w:cs="Times New Roman"/>
          <w:color w:val="000000" w:themeColor="text1"/>
          <w:kern w:val="0"/>
          <w:sz w:val="36"/>
          <w:szCs w:val="36"/>
          <w14:ligatures w14:val="none"/>
        </w:rPr>
      </w:pPr>
      <w:r w:rsidRPr="009C34AB">
        <w:rPr>
          <w:rFonts w:ascii="Default Font" w:eastAsia="Times New Roman" w:hAnsi="Default Font" w:cs="Times New Roman"/>
          <w:b/>
          <w:bCs/>
          <w:color w:val="000000" w:themeColor="text1"/>
          <w:kern w:val="0"/>
          <w:sz w:val="36"/>
          <w:szCs w:val="36"/>
          <w14:ligatures w14:val="none"/>
        </w:rPr>
        <w:t>3. Request for Reconsideration and Refund Processing</w:t>
      </w:r>
    </w:p>
    <w:p w14:paraId="458DDC90" w14:textId="77777777" w:rsidR="009C34AB" w:rsidRPr="009C34AB" w:rsidRDefault="009C34AB" w:rsidP="009C34AB">
      <w:pPr>
        <w:spacing w:after="150" w:line="408" w:lineRule="atLeast"/>
        <w:rPr>
          <w:rFonts w:ascii="Default Font" w:eastAsia="Times New Roman" w:hAnsi="Default Font" w:cs="Times New Roman"/>
          <w:color w:val="000000" w:themeColor="text1"/>
          <w:kern w:val="0"/>
          <w:sz w:val="36"/>
          <w:szCs w:val="36"/>
          <w14:ligatures w14:val="none"/>
        </w:rPr>
      </w:pPr>
      <w:r w:rsidRPr="009C34AB">
        <w:rPr>
          <w:rFonts w:ascii="Default Font" w:eastAsia="Times New Roman" w:hAnsi="Default Font" w:cs="Times New Roman"/>
          <w:color w:val="000000" w:themeColor="text1"/>
          <w:kern w:val="0"/>
          <w:sz w:val="36"/>
          <w:szCs w:val="36"/>
          <w14:ligatures w14:val="none"/>
        </w:rPr>
        <w:t>Given the above, we request your good office to:</w:t>
      </w:r>
    </w:p>
    <w:p w14:paraId="6E534E4F" w14:textId="4F60EE44" w:rsidR="009C34AB" w:rsidRPr="009C34AB" w:rsidRDefault="009C34AB" w:rsidP="009C34AB">
      <w:pPr>
        <w:numPr>
          <w:ilvl w:val="0"/>
          <w:numId w:val="3"/>
        </w:numPr>
        <w:spacing w:after="150" w:line="408" w:lineRule="atLeast"/>
        <w:rPr>
          <w:rFonts w:ascii="Default Font" w:eastAsia="Times New Roman" w:hAnsi="Default Font" w:cs="Times New Roman"/>
          <w:color w:val="000000" w:themeColor="text1"/>
          <w:kern w:val="0"/>
          <w:sz w:val="36"/>
          <w:szCs w:val="36"/>
          <w14:ligatures w14:val="none"/>
        </w:rPr>
      </w:pPr>
      <w:r w:rsidRPr="009C34AB">
        <w:rPr>
          <w:rFonts w:ascii="Default Font" w:eastAsia="Times New Roman" w:hAnsi="Default Font" w:cs="Times New Roman"/>
          <w:color w:val="000000" w:themeColor="text1"/>
          <w:kern w:val="0"/>
          <w:sz w:val="36"/>
          <w:szCs w:val="36"/>
          <w14:ligatures w14:val="none"/>
        </w:rPr>
        <w:t>Reconsider our refund claim on merits, rather than procedural time-barred limitations under </w:t>
      </w:r>
      <w:r w:rsidRPr="009C34AB">
        <w:rPr>
          <w:rFonts w:ascii="Default Font" w:eastAsia="Times New Roman" w:hAnsi="Default Font" w:cs="Times New Roman"/>
          <w:b/>
          <w:bCs/>
          <w:color w:val="000000" w:themeColor="text1"/>
          <w:kern w:val="0"/>
          <w:sz w:val="36"/>
          <w:szCs w:val="36"/>
          <w:u w:val="single"/>
          <w14:ligatures w14:val="none"/>
        </w:rPr>
        <w:t>Section 54</w:t>
      </w:r>
      <w:r w:rsidRPr="009C34AB">
        <w:rPr>
          <w:rFonts w:ascii="Default Font" w:eastAsia="Times New Roman" w:hAnsi="Default Font" w:cs="Times New Roman"/>
          <w:color w:val="000000" w:themeColor="text1"/>
          <w:kern w:val="0"/>
          <w:sz w:val="36"/>
          <w:szCs w:val="36"/>
          <w14:ligatures w14:val="none"/>
        </w:rPr>
        <w:t>.</w:t>
      </w:r>
    </w:p>
    <w:p w14:paraId="0CF03047" w14:textId="77777777" w:rsidR="009C34AB" w:rsidRPr="009C34AB" w:rsidRDefault="009C34AB" w:rsidP="009C34AB">
      <w:pPr>
        <w:numPr>
          <w:ilvl w:val="0"/>
          <w:numId w:val="3"/>
        </w:numPr>
        <w:spacing w:after="150" w:line="408" w:lineRule="atLeast"/>
        <w:rPr>
          <w:rFonts w:ascii="Default Font" w:eastAsia="Times New Roman" w:hAnsi="Default Font" w:cs="Times New Roman"/>
          <w:color w:val="000000" w:themeColor="text1"/>
          <w:kern w:val="0"/>
          <w:sz w:val="36"/>
          <w:szCs w:val="36"/>
          <w14:ligatures w14:val="none"/>
        </w:rPr>
      </w:pPr>
      <w:r w:rsidRPr="009C34AB">
        <w:rPr>
          <w:rFonts w:ascii="Default Font" w:eastAsia="Times New Roman" w:hAnsi="Default Font" w:cs="Times New Roman"/>
          <w:color w:val="000000" w:themeColor="text1"/>
          <w:kern w:val="0"/>
          <w:sz w:val="36"/>
          <w:szCs w:val="36"/>
          <w14:ligatures w14:val="none"/>
        </w:rPr>
        <w:t>Acknowledge that the refund is for excess output tax paid, not an ITC refund, and is therefore eligible for rectification under GST provisions.</w:t>
      </w:r>
    </w:p>
    <w:p w14:paraId="7578C5C4" w14:textId="57D07C86" w:rsidR="009C34AB" w:rsidRPr="009C34AB" w:rsidRDefault="009C34AB" w:rsidP="009C34AB">
      <w:pPr>
        <w:numPr>
          <w:ilvl w:val="0"/>
          <w:numId w:val="3"/>
        </w:numPr>
        <w:spacing w:after="150" w:line="408" w:lineRule="atLeast"/>
        <w:rPr>
          <w:rFonts w:ascii="Default Font" w:eastAsia="Times New Roman" w:hAnsi="Default Font" w:cs="Times New Roman"/>
          <w:color w:val="000000" w:themeColor="text1"/>
          <w:kern w:val="0"/>
          <w:sz w:val="36"/>
          <w:szCs w:val="36"/>
          <w14:ligatures w14:val="none"/>
        </w:rPr>
      </w:pPr>
      <w:r w:rsidRPr="009C34AB">
        <w:rPr>
          <w:rFonts w:ascii="Default Font" w:eastAsia="Times New Roman" w:hAnsi="Default Font" w:cs="Times New Roman"/>
          <w:color w:val="000000" w:themeColor="text1"/>
          <w:kern w:val="0"/>
          <w:sz w:val="36"/>
          <w:szCs w:val="36"/>
          <w14:ligatures w14:val="none"/>
        </w:rPr>
        <w:t>Follow the precedent set in BLA Infrastructure Limited </w:t>
      </w:r>
      <w:r w:rsidRPr="009C34AB">
        <w:rPr>
          <w:rFonts w:ascii="Default Font" w:eastAsia="Times New Roman" w:hAnsi="Default Font" w:cs="Times New Roman"/>
          <w:b/>
          <w:bCs/>
          <w:color w:val="000000" w:themeColor="text1"/>
          <w:kern w:val="0"/>
          <w:sz w:val="36"/>
          <w:szCs w:val="36"/>
          <w:u w:val="single"/>
          <w14:ligatures w14:val="none"/>
        </w:rPr>
        <w:t>[2025] (Jharkhand)</w:t>
      </w:r>
      <w:r w:rsidRPr="009C34AB">
        <w:rPr>
          <w:rFonts w:ascii="Default Font" w:eastAsia="Times New Roman" w:hAnsi="Default Font" w:cs="Times New Roman"/>
          <w:color w:val="000000" w:themeColor="text1"/>
          <w:kern w:val="0"/>
          <w:sz w:val="36"/>
          <w:szCs w:val="36"/>
          <w14:ligatures w14:val="none"/>
        </w:rPr>
        <w:t> and grant the refund along with applicable interest.</w:t>
      </w:r>
    </w:p>
    <w:p w14:paraId="3547F653" w14:textId="77777777" w:rsidR="009C34AB" w:rsidRPr="009C34AB" w:rsidRDefault="009C34AB" w:rsidP="009C34AB">
      <w:pPr>
        <w:spacing w:after="150" w:line="408" w:lineRule="atLeast"/>
        <w:rPr>
          <w:rFonts w:ascii="Default Font" w:eastAsia="Times New Roman" w:hAnsi="Default Font" w:cs="Times New Roman"/>
          <w:color w:val="000000" w:themeColor="text1"/>
          <w:kern w:val="0"/>
          <w:sz w:val="36"/>
          <w:szCs w:val="36"/>
          <w14:ligatures w14:val="none"/>
        </w:rPr>
      </w:pPr>
      <w:r w:rsidRPr="009C34AB">
        <w:rPr>
          <w:rFonts w:ascii="Default Font" w:eastAsia="Times New Roman" w:hAnsi="Default Font" w:cs="Times New Roman"/>
          <w:color w:val="000000" w:themeColor="text1"/>
          <w:kern w:val="0"/>
          <w:sz w:val="36"/>
          <w:szCs w:val="36"/>
          <w14:ligatures w14:val="none"/>
        </w:rPr>
        <w:t>We are available for further clarifications and request an opportunity for a hearing in this matter.</w:t>
      </w:r>
    </w:p>
    <w:p w14:paraId="24C1AD63" w14:textId="77777777" w:rsidR="009C34AB" w:rsidRPr="009C34AB" w:rsidRDefault="009C34AB" w:rsidP="009C34AB">
      <w:pPr>
        <w:spacing w:after="150" w:line="408" w:lineRule="atLeast"/>
        <w:rPr>
          <w:rFonts w:ascii="Default Font" w:eastAsia="Times New Roman" w:hAnsi="Default Font" w:cs="Times New Roman"/>
          <w:color w:val="000000" w:themeColor="text1"/>
          <w:kern w:val="0"/>
          <w:sz w:val="36"/>
          <w:szCs w:val="36"/>
          <w14:ligatures w14:val="none"/>
        </w:rPr>
      </w:pPr>
      <w:r w:rsidRPr="009C34AB">
        <w:rPr>
          <w:rFonts w:ascii="Default Font" w:eastAsia="Times New Roman" w:hAnsi="Default Font" w:cs="Times New Roman"/>
          <w:color w:val="000000" w:themeColor="text1"/>
          <w:kern w:val="0"/>
          <w:sz w:val="36"/>
          <w:szCs w:val="36"/>
          <w14:ligatures w14:val="none"/>
        </w:rPr>
        <w:t>Thanking You.</w:t>
      </w:r>
    </w:p>
    <w:p w14:paraId="686AE2B0" w14:textId="7B37C16E" w:rsidR="005237F3" w:rsidRPr="009C34AB" w:rsidRDefault="009C34AB" w:rsidP="009C34AB">
      <w:pPr>
        <w:rPr>
          <w:color w:val="000000" w:themeColor="text1"/>
        </w:rPr>
      </w:pPr>
      <w:r w:rsidRPr="009C34AB">
        <w:rPr>
          <w:rFonts w:ascii="Default Font" w:eastAsia="Times New Roman" w:hAnsi="Default Font" w:cs="Times New Roman"/>
          <w:b/>
          <w:bCs/>
          <w:color w:val="000000" w:themeColor="text1"/>
          <w:kern w:val="0"/>
          <w:sz w:val="36"/>
          <w:szCs w:val="36"/>
          <w14:ligatures w14:val="none"/>
        </w:rPr>
        <w:t>Yours sincerely,</w:t>
      </w:r>
    </w:p>
    <w:sectPr w:rsidR="005237F3" w:rsidRPr="009C34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F179A"/>
    <w:multiLevelType w:val="multilevel"/>
    <w:tmpl w:val="2528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4907A6"/>
    <w:multiLevelType w:val="multilevel"/>
    <w:tmpl w:val="40EC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9D376B0"/>
    <w:multiLevelType w:val="multilevel"/>
    <w:tmpl w:val="0CDE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2406859">
    <w:abstractNumId w:val="1"/>
  </w:num>
  <w:num w:numId="2" w16cid:durableId="37897841">
    <w:abstractNumId w:val="2"/>
  </w:num>
  <w:num w:numId="3" w16cid:durableId="173901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AB"/>
    <w:rsid w:val="00031CAE"/>
    <w:rsid w:val="00447B58"/>
    <w:rsid w:val="005237F3"/>
    <w:rsid w:val="009C34AB"/>
    <w:rsid w:val="009C38D0"/>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AFE35"/>
  <w15:chartTrackingRefBased/>
  <w15:docId w15:val="{E983B9B6-6F8C-4D41-9035-84D6825CD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34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34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34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34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34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34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4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4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4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4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34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34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34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34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34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4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4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4AB"/>
    <w:rPr>
      <w:rFonts w:eastAsiaTheme="majorEastAsia" w:cstheme="majorBidi"/>
      <w:color w:val="272727" w:themeColor="text1" w:themeTint="D8"/>
    </w:rPr>
  </w:style>
  <w:style w:type="paragraph" w:styleId="Title">
    <w:name w:val="Title"/>
    <w:basedOn w:val="Normal"/>
    <w:next w:val="Normal"/>
    <w:link w:val="TitleChar"/>
    <w:uiPriority w:val="10"/>
    <w:qFormat/>
    <w:rsid w:val="009C34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4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4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4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4AB"/>
    <w:pPr>
      <w:spacing w:before="160"/>
      <w:jc w:val="center"/>
    </w:pPr>
    <w:rPr>
      <w:i/>
      <w:iCs/>
      <w:color w:val="404040" w:themeColor="text1" w:themeTint="BF"/>
    </w:rPr>
  </w:style>
  <w:style w:type="character" w:customStyle="1" w:styleId="QuoteChar">
    <w:name w:val="Quote Char"/>
    <w:basedOn w:val="DefaultParagraphFont"/>
    <w:link w:val="Quote"/>
    <w:uiPriority w:val="29"/>
    <w:rsid w:val="009C34AB"/>
    <w:rPr>
      <w:i/>
      <w:iCs/>
      <w:color w:val="404040" w:themeColor="text1" w:themeTint="BF"/>
    </w:rPr>
  </w:style>
  <w:style w:type="paragraph" w:styleId="ListParagraph">
    <w:name w:val="List Paragraph"/>
    <w:basedOn w:val="Normal"/>
    <w:uiPriority w:val="34"/>
    <w:qFormat/>
    <w:rsid w:val="009C34AB"/>
    <w:pPr>
      <w:ind w:left="720"/>
      <w:contextualSpacing/>
    </w:pPr>
  </w:style>
  <w:style w:type="character" w:styleId="IntenseEmphasis">
    <w:name w:val="Intense Emphasis"/>
    <w:basedOn w:val="DefaultParagraphFont"/>
    <w:uiPriority w:val="21"/>
    <w:qFormat/>
    <w:rsid w:val="009C34AB"/>
    <w:rPr>
      <w:i/>
      <w:iCs/>
      <w:color w:val="2F5496" w:themeColor="accent1" w:themeShade="BF"/>
    </w:rPr>
  </w:style>
  <w:style w:type="paragraph" w:styleId="IntenseQuote">
    <w:name w:val="Intense Quote"/>
    <w:basedOn w:val="Normal"/>
    <w:next w:val="Normal"/>
    <w:link w:val="IntenseQuoteChar"/>
    <w:uiPriority w:val="30"/>
    <w:qFormat/>
    <w:rsid w:val="009C34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34AB"/>
    <w:rPr>
      <w:i/>
      <w:iCs/>
      <w:color w:val="2F5496" w:themeColor="accent1" w:themeShade="BF"/>
    </w:rPr>
  </w:style>
  <w:style w:type="character" w:styleId="IntenseReference">
    <w:name w:val="Intense Reference"/>
    <w:basedOn w:val="DefaultParagraphFont"/>
    <w:uiPriority w:val="32"/>
    <w:qFormat/>
    <w:rsid w:val="009C34AB"/>
    <w:rPr>
      <w:b/>
      <w:bCs/>
      <w:smallCaps/>
      <w:color w:val="2F5496" w:themeColor="accent1" w:themeShade="BF"/>
      <w:spacing w:val="5"/>
    </w:rPr>
  </w:style>
  <w:style w:type="paragraph" w:styleId="NormalWeb">
    <w:name w:val="Normal (Web)"/>
    <w:basedOn w:val="Normal"/>
    <w:uiPriority w:val="99"/>
    <w:semiHidden/>
    <w:unhideWhenUsed/>
    <w:rsid w:val="009C34A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C34AB"/>
    <w:rPr>
      <w:b/>
      <w:bCs/>
    </w:rPr>
  </w:style>
  <w:style w:type="character" w:styleId="Hyperlink">
    <w:name w:val="Hyperlink"/>
    <w:basedOn w:val="DefaultParagraphFont"/>
    <w:uiPriority w:val="99"/>
    <w:semiHidden/>
    <w:unhideWhenUsed/>
    <w:rsid w:val="009C34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2025-10-31T05:08:00Z</dcterms:created>
  <dcterms:modified xsi:type="dcterms:W3CDTF">2025-10-31T05:10:00Z</dcterms:modified>
</cp:coreProperties>
</file>