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0" w:type="dxa"/>
        <w:jc w:val="center"/>
        <w:shd w:val="clear" w:color="auto" w:fill="FFFFFF"/>
        <w:tblCellMar>
          <w:left w:w="0" w:type="dxa"/>
          <w:right w:w="0" w:type="dxa"/>
        </w:tblCellMar>
        <w:tblLook w:val="04A0" w:firstRow="1" w:lastRow="0" w:firstColumn="1" w:lastColumn="0" w:noHBand="0" w:noVBand="1"/>
      </w:tblPr>
      <w:tblGrid>
        <w:gridCol w:w="9870"/>
      </w:tblGrid>
      <w:tr w:rsidR="00623A6D" w:rsidRPr="00623A6D" w14:paraId="21B1F9E3" w14:textId="77777777" w:rsidTr="00623A6D">
        <w:trPr>
          <w:jc w:val="center"/>
        </w:trPr>
        <w:tc>
          <w:tcPr>
            <w:tcW w:w="9870" w:type="dxa"/>
            <w:shd w:val="clear" w:color="auto" w:fill="FFFFFF"/>
            <w:vAlign w:val="center"/>
            <w:hideMark/>
          </w:tcPr>
          <w:p w14:paraId="1753264D" w14:textId="77777777" w:rsidR="00623A6D" w:rsidRPr="00623A6D" w:rsidRDefault="00623A6D" w:rsidP="00623A6D">
            <w:r w:rsidRPr="00623A6D">
              <w:rPr>
                <w:b/>
                <w:bCs/>
              </w:rPr>
              <w:t>Reply to notice received for rejection of application for refund on account of ITC verification</w:t>
            </w:r>
          </w:p>
          <w:p w14:paraId="6BF1103E" w14:textId="77777777" w:rsidR="00623A6D" w:rsidRPr="00623A6D" w:rsidRDefault="00623A6D" w:rsidP="00623A6D">
            <w:r w:rsidRPr="00623A6D">
              <w:t>Date: ________</w:t>
            </w:r>
          </w:p>
          <w:p w14:paraId="1A09042D" w14:textId="77777777" w:rsidR="00623A6D" w:rsidRPr="00623A6D" w:rsidRDefault="00623A6D" w:rsidP="00623A6D">
            <w:r w:rsidRPr="00623A6D">
              <w:t>To</w:t>
            </w:r>
          </w:p>
          <w:p w14:paraId="66F1EA51" w14:textId="77777777" w:rsidR="00623A6D" w:rsidRPr="00623A6D" w:rsidRDefault="00623A6D" w:rsidP="00623A6D">
            <w:r w:rsidRPr="00623A6D">
              <w:t>                                                    </w:t>
            </w:r>
            <w:r w:rsidRPr="00623A6D">
              <w:br/>
              <w:t>The Jurisdictional Officer,</w:t>
            </w:r>
          </w:p>
          <w:p w14:paraId="69B71990" w14:textId="77777777" w:rsidR="00623A6D" w:rsidRPr="00623A6D" w:rsidRDefault="00623A6D" w:rsidP="00623A6D">
            <w:r w:rsidRPr="00623A6D">
              <w:t>______ Division,</w:t>
            </w:r>
          </w:p>
          <w:p w14:paraId="305C97FC" w14:textId="77777777" w:rsidR="00623A6D" w:rsidRPr="00623A6D" w:rsidRDefault="00623A6D" w:rsidP="00623A6D">
            <w:r w:rsidRPr="00623A6D">
              <w:t>______ Commissionerate</w:t>
            </w:r>
          </w:p>
          <w:p w14:paraId="6B3F5CE3" w14:textId="77777777" w:rsidR="00623A6D" w:rsidRPr="00623A6D" w:rsidRDefault="00623A6D" w:rsidP="00623A6D">
            <w:r w:rsidRPr="00623A6D">
              <w:rPr>
                <w:b/>
                <w:bCs/>
              </w:rPr>
              <w:t>Sub: Reply to notice received for rejection of application for refund on account of ITC verification</w:t>
            </w:r>
          </w:p>
          <w:p w14:paraId="78DB4F19" w14:textId="77777777" w:rsidR="00623A6D" w:rsidRPr="00623A6D" w:rsidRDefault="00623A6D" w:rsidP="00623A6D">
            <w:r w:rsidRPr="00623A6D">
              <w:rPr>
                <w:b/>
                <w:bCs/>
              </w:rPr>
              <w:t>Ref: Your notice number-----------------------------------------------------------dated-----------</w:t>
            </w:r>
          </w:p>
          <w:p w14:paraId="10765BCF" w14:textId="6AA74367" w:rsidR="00623A6D" w:rsidRPr="00623A6D" w:rsidRDefault="00623A6D" w:rsidP="00623A6D">
            <w:r w:rsidRPr="00623A6D">
              <w:t>We are in receipt of the above referred notice whereby refund filed under </w:t>
            </w:r>
            <w:r w:rsidRPr="00623A6D">
              <w:rPr>
                <w:b/>
                <w:bCs/>
              </w:rPr>
              <w:t>section 54</w:t>
            </w:r>
            <w:r w:rsidRPr="00623A6D">
              <w:t> of CGST has been rejected on account of pendency of ITC verification of suppliers of claimant, the details are here as under—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
              <w:gridCol w:w="5525"/>
              <w:gridCol w:w="3376"/>
            </w:tblGrid>
            <w:tr w:rsidR="00623A6D" w:rsidRPr="00623A6D" w14:paraId="3D72E8CD" w14:textId="77777777">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ACD311" w14:textId="77777777" w:rsidR="00623A6D" w:rsidRPr="00623A6D" w:rsidRDefault="00623A6D" w:rsidP="00623A6D">
                  <w:r w:rsidRPr="00623A6D">
                    <w:rPr>
                      <w:b/>
                      <w:bCs/>
                    </w:rPr>
                    <w:t>Sr. No.</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29F5DD" w14:textId="77777777" w:rsidR="00623A6D" w:rsidRPr="00623A6D" w:rsidRDefault="00623A6D" w:rsidP="00623A6D">
                  <w:r w:rsidRPr="00623A6D">
                    <w:rPr>
                      <w:b/>
                      <w:bCs/>
                    </w:rPr>
                    <w:t>Description (select the reason of inadmissibility of refund from the drop down)</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C9EC16" w14:textId="77777777" w:rsidR="00623A6D" w:rsidRPr="00623A6D" w:rsidRDefault="00623A6D" w:rsidP="00623A6D">
                  <w:r w:rsidRPr="00623A6D">
                    <w:rPr>
                      <w:b/>
                      <w:bCs/>
                    </w:rPr>
                    <w:t>Amount inadmissible</w:t>
                  </w:r>
                </w:p>
              </w:tc>
            </w:tr>
            <w:tr w:rsidR="00623A6D" w:rsidRPr="00623A6D" w14:paraId="098F5DA7" w14:textId="77777777">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59CE05" w14:textId="77777777" w:rsidR="00623A6D" w:rsidRPr="00623A6D" w:rsidRDefault="00623A6D" w:rsidP="00623A6D">
                  <w:r w:rsidRPr="00623A6D">
                    <w:t>1.</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4195F2" w14:textId="77777777" w:rsidR="00623A6D" w:rsidRPr="00623A6D" w:rsidRDefault="00623A6D" w:rsidP="00623A6D">
                  <w:r w:rsidRPr="00623A6D">
                    <w:t>ITC verification of (L1) and (L2) suppliers of the claimant is still pending as per statutory provisions under CGST Act, 2017.</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222FC5" w14:textId="77777777" w:rsidR="00623A6D" w:rsidRPr="00623A6D" w:rsidRDefault="00623A6D" w:rsidP="00623A6D">
                  <w:r w:rsidRPr="00623A6D">
                    <w:t>Rs. 3,32,000/-</w:t>
                  </w:r>
                </w:p>
              </w:tc>
            </w:tr>
          </w:tbl>
          <w:p w14:paraId="5C089546" w14:textId="77777777" w:rsidR="00623A6D" w:rsidRPr="00623A6D" w:rsidRDefault="00623A6D" w:rsidP="00623A6D">
            <w:r w:rsidRPr="00623A6D">
              <w:t>The only reason for rejecting the refund was on account of ITC verification of suppliers.</w:t>
            </w:r>
          </w:p>
          <w:p w14:paraId="505394D1" w14:textId="77777777" w:rsidR="00623A6D" w:rsidRPr="00623A6D" w:rsidRDefault="00623A6D" w:rsidP="00623A6D">
            <w:r w:rsidRPr="00623A6D">
              <w:rPr>
                <w:b/>
                <w:bCs/>
              </w:rPr>
              <w:t>In this regard, we submit our reply as follows –</w:t>
            </w:r>
          </w:p>
          <w:p w14:paraId="3180EF77" w14:textId="77777777" w:rsidR="00623A6D" w:rsidRPr="00623A6D" w:rsidRDefault="00623A6D" w:rsidP="00623A6D">
            <w:r w:rsidRPr="00623A6D">
              <w:t xml:space="preserve">This is to inform you that we are engaged in manufacturing of………………… goods which is taxable @........... For manufacturing the </w:t>
            </w:r>
            <w:proofErr w:type="gramStart"/>
            <w:r w:rsidRPr="00623A6D">
              <w:t>goods</w:t>
            </w:r>
            <w:proofErr w:type="gramEnd"/>
            <w:r w:rsidRPr="00623A6D">
              <w:t xml:space="preserve"> we purchased various kinds of goods attracting GST @......... Since the rate of GST on inputs is higher than the rate of GST on outward supply, we are eligible to claim refund under “inverted duty structure” category which has been rejected by the impugned order.</w:t>
            </w:r>
          </w:p>
          <w:p w14:paraId="3A6F8465" w14:textId="78F5B63E" w:rsidR="00623A6D" w:rsidRPr="00623A6D" w:rsidRDefault="00623A6D" w:rsidP="00623A6D">
            <w:r w:rsidRPr="00623A6D">
              <w:t>We would like to submit that the above referred notice is not in accordance with law as the ITC availed by us is in compliance of conditions mentioned in </w:t>
            </w:r>
            <w:r w:rsidRPr="00623A6D">
              <w:rPr>
                <w:b/>
                <w:bCs/>
              </w:rPr>
              <w:t>Section 16</w:t>
            </w:r>
            <w:r w:rsidRPr="00623A6D">
              <w:t>(2) of CGST Act which is reproduced hereunder—</w:t>
            </w:r>
          </w:p>
          <w:p w14:paraId="6336DA33" w14:textId="77777777" w:rsidR="00623A6D" w:rsidRPr="00623A6D" w:rsidRDefault="00623A6D" w:rsidP="00623A6D">
            <w:r w:rsidRPr="00623A6D">
              <w:rPr>
                <w:i/>
                <w:iCs/>
              </w:rPr>
              <w:t xml:space="preserve">(2) Notwithstanding anything contained in this section, no Registered person shall be entitled to the credit of any input tax in respect of any supply of goods or services or both to him </w:t>
            </w:r>
            <w:proofErr w:type="gramStart"/>
            <w:r w:rsidRPr="00623A6D">
              <w:rPr>
                <w:i/>
                <w:iCs/>
              </w:rPr>
              <w:t>unless,—</w:t>
            </w:r>
            <w:proofErr w:type="gramEnd"/>
          </w:p>
          <w:p w14:paraId="4A5DC99E" w14:textId="77777777" w:rsidR="00623A6D" w:rsidRPr="00623A6D" w:rsidRDefault="00623A6D" w:rsidP="00623A6D">
            <w:r w:rsidRPr="00623A6D">
              <w:rPr>
                <w:i/>
                <w:iCs/>
              </w:rPr>
              <w:lastRenderedPageBreak/>
              <w:t>(a) he is in possession of a tax invoice or Debit note issued by a supplier registered under this Act, or such other tax paying documents as may be prescribed;</w:t>
            </w:r>
          </w:p>
          <w:p w14:paraId="0B0C8C3E" w14:textId="0F67AE78" w:rsidR="00623A6D" w:rsidRPr="00623A6D" w:rsidRDefault="00623A6D" w:rsidP="00623A6D">
            <w:r w:rsidRPr="00623A6D">
              <w:rPr>
                <w:i/>
                <w:iCs/>
              </w:rPr>
              <w:t>(aa) the details of the invoice or Debit note referred to in clause (a) has been furnished by the supplier in the statement of outward supplies and such details have been communicated to the recipient of such invoice or Debit note in the manner specified under </w:t>
            </w:r>
            <w:r w:rsidRPr="00623A6D">
              <w:rPr>
                <w:b/>
                <w:bCs/>
                <w:i/>
                <w:iCs/>
              </w:rPr>
              <w:t>section 37</w:t>
            </w:r>
            <w:r w:rsidRPr="00623A6D">
              <w:rPr>
                <w:i/>
                <w:iCs/>
              </w:rPr>
              <w:t>;</w:t>
            </w:r>
          </w:p>
          <w:p w14:paraId="7B6CD1D4" w14:textId="77777777" w:rsidR="00623A6D" w:rsidRPr="00623A6D" w:rsidRDefault="00623A6D" w:rsidP="00623A6D">
            <w:r w:rsidRPr="00623A6D">
              <w:rPr>
                <w:i/>
                <w:iCs/>
              </w:rPr>
              <w:t>(b) he has received the goods or services or both.</w:t>
            </w:r>
          </w:p>
          <w:p w14:paraId="18BAB1C5" w14:textId="77777777" w:rsidR="00623A6D" w:rsidRPr="00623A6D" w:rsidRDefault="00623A6D" w:rsidP="00623A6D">
            <w:proofErr w:type="gramStart"/>
            <w:r w:rsidRPr="00623A6D">
              <w:rPr>
                <w:b/>
                <w:bCs/>
                <w:i/>
                <w:iCs/>
              </w:rPr>
              <w:t>Explanation.</w:t>
            </w:r>
            <w:r w:rsidRPr="00623A6D">
              <w:rPr>
                <w:i/>
                <w:iCs/>
              </w:rPr>
              <w:t>—</w:t>
            </w:r>
            <w:proofErr w:type="gramEnd"/>
            <w:r w:rsidRPr="00623A6D">
              <w:rPr>
                <w:i/>
                <w:iCs/>
              </w:rPr>
              <w:t>For the purposes of this clause, it shall be deemed that the Registered person has received the goods or, as the case may be, services—</w:t>
            </w:r>
          </w:p>
          <w:p w14:paraId="4D42A0DE" w14:textId="77777777" w:rsidR="00623A6D" w:rsidRPr="00623A6D" w:rsidRDefault="00623A6D" w:rsidP="00623A6D">
            <w:r w:rsidRPr="00623A6D">
              <w:rPr>
                <w:i/>
                <w:iCs/>
              </w:rPr>
              <w:t>(</w:t>
            </w:r>
            <w:proofErr w:type="spellStart"/>
            <w:r w:rsidRPr="00623A6D">
              <w:rPr>
                <w:i/>
                <w:iCs/>
              </w:rPr>
              <w:t>i</w:t>
            </w:r>
            <w:proofErr w:type="spellEnd"/>
            <w:r w:rsidRPr="00623A6D">
              <w:rPr>
                <w:i/>
                <w:iCs/>
              </w:rPr>
              <w:t>)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1022375F" w14:textId="77777777" w:rsidR="00623A6D" w:rsidRPr="00623A6D" w:rsidRDefault="00623A6D" w:rsidP="00623A6D">
            <w:r w:rsidRPr="00623A6D">
              <w:rPr>
                <w:i/>
                <w:iCs/>
              </w:rPr>
              <w:t>(ii) where the services are provided by the supplier to any person on the direction of and on account of such Registered person.</w:t>
            </w:r>
          </w:p>
          <w:p w14:paraId="0BB2FF5F" w14:textId="25024F44" w:rsidR="00623A6D" w:rsidRPr="00623A6D" w:rsidRDefault="00623A6D" w:rsidP="00623A6D">
            <w:r w:rsidRPr="00623A6D">
              <w:rPr>
                <w:i/>
                <w:iCs/>
              </w:rPr>
              <w:t>(</w:t>
            </w:r>
            <w:proofErr w:type="spellStart"/>
            <w:r w:rsidRPr="00623A6D">
              <w:rPr>
                <w:i/>
                <w:iCs/>
              </w:rPr>
              <w:t>ba</w:t>
            </w:r>
            <w:proofErr w:type="spellEnd"/>
            <w:r w:rsidRPr="00623A6D">
              <w:rPr>
                <w:i/>
                <w:iCs/>
              </w:rPr>
              <w:t>) the details of Input tax credit in respect of the said supply communicated to such Registered person under </w:t>
            </w:r>
            <w:r w:rsidRPr="00623A6D">
              <w:rPr>
                <w:b/>
                <w:bCs/>
                <w:i/>
                <w:iCs/>
              </w:rPr>
              <w:t>section 38</w:t>
            </w:r>
            <w:r w:rsidRPr="00623A6D">
              <w:rPr>
                <w:i/>
                <w:iCs/>
              </w:rPr>
              <w:t> has not been restricted;</w:t>
            </w:r>
          </w:p>
          <w:p w14:paraId="6CFB9A67" w14:textId="4C27FE15" w:rsidR="00623A6D" w:rsidRPr="00623A6D" w:rsidRDefault="00623A6D" w:rsidP="00623A6D">
            <w:r w:rsidRPr="00623A6D">
              <w:rPr>
                <w:i/>
                <w:iCs/>
              </w:rPr>
              <w:t>(c) subject to the provisions of </w:t>
            </w:r>
            <w:r w:rsidRPr="00623A6D">
              <w:rPr>
                <w:b/>
                <w:bCs/>
                <w:i/>
                <w:iCs/>
              </w:rPr>
              <w:t>Section 41</w:t>
            </w:r>
            <w:r w:rsidRPr="00623A6D">
              <w:rPr>
                <w:i/>
                <w:iCs/>
              </w:rPr>
              <w:t xml:space="preserve">, the tax charged in respect of such supply has been actually paid to the Government, either in cash or through </w:t>
            </w:r>
            <w:proofErr w:type="spellStart"/>
            <w:r w:rsidRPr="00623A6D">
              <w:rPr>
                <w:i/>
                <w:iCs/>
              </w:rPr>
              <w:t>utilisation</w:t>
            </w:r>
            <w:proofErr w:type="spellEnd"/>
            <w:r w:rsidRPr="00623A6D">
              <w:rPr>
                <w:i/>
                <w:iCs/>
              </w:rPr>
              <w:t xml:space="preserve"> of Input tax credit admissible in respect of the said supply; and</w:t>
            </w:r>
          </w:p>
          <w:p w14:paraId="0B5F58C8" w14:textId="5D921E36" w:rsidR="00623A6D" w:rsidRPr="00623A6D" w:rsidRDefault="00623A6D" w:rsidP="00623A6D">
            <w:r w:rsidRPr="00623A6D">
              <w:rPr>
                <w:i/>
                <w:iCs/>
              </w:rPr>
              <w:t>(d) he has furnished the return under </w:t>
            </w:r>
            <w:r w:rsidRPr="00623A6D">
              <w:rPr>
                <w:b/>
                <w:bCs/>
                <w:i/>
                <w:iCs/>
              </w:rPr>
              <w:t>Section 39</w:t>
            </w:r>
            <w:r w:rsidRPr="00623A6D">
              <w:rPr>
                <w:i/>
                <w:iCs/>
              </w:rPr>
              <w:t>:</w:t>
            </w:r>
          </w:p>
          <w:p w14:paraId="63DDB1C4" w14:textId="77777777" w:rsidR="00623A6D" w:rsidRPr="00623A6D" w:rsidRDefault="00623A6D" w:rsidP="00623A6D">
            <w:r w:rsidRPr="00623A6D">
              <w:t xml:space="preserve">In view of the above, a taxpayer is eligible to claim ITC on fulfilling the </w:t>
            </w:r>
            <w:proofErr w:type="gramStart"/>
            <w:r w:rsidRPr="00623A6D">
              <w:t>above mentioned</w:t>
            </w:r>
            <w:proofErr w:type="gramEnd"/>
            <w:r w:rsidRPr="00623A6D">
              <w:t xml:space="preserve"> conditions.</w:t>
            </w:r>
          </w:p>
          <w:p w14:paraId="4AF9A67C" w14:textId="77777777" w:rsidR="00623A6D" w:rsidRPr="00623A6D" w:rsidRDefault="00623A6D" w:rsidP="00623A6D">
            <w:r w:rsidRPr="00623A6D">
              <w:t>We further submit that—</w:t>
            </w:r>
          </w:p>
          <w:p w14:paraId="6674CDAB" w14:textId="77777777" w:rsidR="00623A6D" w:rsidRPr="00623A6D" w:rsidRDefault="00623A6D" w:rsidP="00623A6D">
            <w:r w:rsidRPr="00623A6D">
              <w:t>a. We have proper invoices to claim the ITC (Annexure- A)</w:t>
            </w:r>
          </w:p>
          <w:p w14:paraId="2A03052B" w14:textId="614106FD" w:rsidR="00623A6D" w:rsidRPr="00623A6D" w:rsidRDefault="00623A6D" w:rsidP="00623A6D">
            <w:r w:rsidRPr="00623A6D">
              <w:t>b. It was visible in our </w:t>
            </w:r>
            <w:r w:rsidRPr="00623A6D">
              <w:rPr>
                <w:b/>
                <w:bCs/>
              </w:rPr>
              <w:t>GSTR-2A</w:t>
            </w:r>
            <w:r w:rsidRPr="00623A6D">
              <w:t> and </w:t>
            </w:r>
            <w:r w:rsidRPr="00623A6D">
              <w:rPr>
                <w:b/>
                <w:bCs/>
              </w:rPr>
              <w:t>GSTR-2B</w:t>
            </w:r>
            <w:r w:rsidRPr="00623A6D">
              <w:t> (Annexure-B)</w:t>
            </w:r>
          </w:p>
          <w:p w14:paraId="50EA199D" w14:textId="77777777" w:rsidR="00623A6D" w:rsidRPr="00623A6D" w:rsidRDefault="00623A6D" w:rsidP="00623A6D">
            <w:r w:rsidRPr="00623A6D">
              <w:t xml:space="preserve">c. We have received the </w:t>
            </w:r>
            <w:proofErr w:type="gramStart"/>
            <w:r w:rsidRPr="00623A6D">
              <w:t>goods,</w:t>
            </w:r>
            <w:proofErr w:type="gramEnd"/>
            <w:r w:rsidRPr="00623A6D">
              <w:t xml:space="preserve"> we have proper evidence like e-way bill and goods receipt note (Annexure –C)</w:t>
            </w:r>
          </w:p>
          <w:p w14:paraId="3FE57174" w14:textId="77777777" w:rsidR="00623A6D" w:rsidRPr="00623A6D" w:rsidRDefault="00623A6D" w:rsidP="00623A6D">
            <w:r w:rsidRPr="00623A6D">
              <w:t>Refund application has been rejected on a mere apprehension that its supplier had issued fake invoices. There is no conclusive finding on the basis of any cogent material that the invoices issued by supplier are fake invoices.</w:t>
            </w:r>
          </w:p>
          <w:p w14:paraId="603E4BAD" w14:textId="77777777" w:rsidR="00623A6D" w:rsidRPr="00623A6D" w:rsidRDefault="00623A6D" w:rsidP="00623A6D">
            <w:r w:rsidRPr="00623A6D">
              <w:t>The allegations of any fake credit availed by M/s ……………………. cannot be a ground for rejecting refund application filed by us unless it is established that we have not received the goods or paid for them. In the present case, there is little material to support any such allegations.</w:t>
            </w:r>
          </w:p>
          <w:p w14:paraId="50EA1233" w14:textId="77777777" w:rsidR="00623A6D" w:rsidRPr="00623A6D" w:rsidRDefault="00623A6D" w:rsidP="00623A6D">
            <w:r w:rsidRPr="00623A6D">
              <w:t>It is impossible for us to ascertain the genuineness of purchases made by our supplier from whom we have purchased the goods.</w:t>
            </w:r>
          </w:p>
          <w:p w14:paraId="3EC90D03" w14:textId="77777777" w:rsidR="00623A6D" w:rsidRPr="00623A6D" w:rsidRDefault="00623A6D" w:rsidP="00623A6D">
            <w:r w:rsidRPr="00623A6D">
              <w:rPr>
                <w:b/>
                <w:bCs/>
              </w:rPr>
              <w:t>Following judgment of The High Court can be relied upon-</w:t>
            </w:r>
          </w:p>
          <w:p w14:paraId="420507CD" w14:textId="2DD1B550" w:rsidR="00623A6D" w:rsidRPr="00623A6D" w:rsidRDefault="00623A6D" w:rsidP="00623A6D">
            <w:r w:rsidRPr="00623A6D">
              <w:t>DELHI HIGH COURT in case of Balaji Exim V/s Commissioner, CGST and Ors. </w:t>
            </w:r>
            <w:r w:rsidRPr="00623A6D">
              <w:rPr>
                <w:b/>
                <w:bCs/>
              </w:rPr>
              <w:t>[2023] (Delhi)</w:t>
            </w:r>
            <w:r w:rsidRPr="00623A6D">
              <w:t xml:space="preserve">, held that </w:t>
            </w:r>
            <w:proofErr w:type="gramStart"/>
            <w:r w:rsidRPr="00623A6D">
              <w:t>The</w:t>
            </w:r>
            <w:proofErr w:type="gramEnd"/>
            <w:r w:rsidRPr="00623A6D">
              <w:t xml:space="preserve"> petitioner would be entitled to the Refund of the ITC on goods that have been exported by it. The present petitions are, accordingly, allowed and the respondents are directed to forthwith process the petitioner’s applications for Refund of the ITC including </w:t>
            </w:r>
            <w:proofErr w:type="spellStart"/>
            <w:r w:rsidRPr="00623A6D">
              <w:t>Cess</w:t>
            </w:r>
            <w:proofErr w:type="spellEnd"/>
            <w:r w:rsidRPr="00623A6D">
              <w:t>. The allegations of any fake credit availed by M/s Shruti Exports cannot be a ground for rejecting the petitioner’s Refund applications unless it is established that the petitioner has not received the goods or paid for them.</w:t>
            </w:r>
          </w:p>
          <w:p w14:paraId="560929E6" w14:textId="77777777" w:rsidR="00623A6D" w:rsidRPr="00623A6D" w:rsidRDefault="00623A6D" w:rsidP="00623A6D">
            <w:r w:rsidRPr="00623A6D">
              <w:t xml:space="preserve">In On Quest Merchandising India Pvt. Ltd. v. Government of NCT of Delhi &amp; Ors.: 2017 SCC </w:t>
            </w:r>
            <w:proofErr w:type="spellStart"/>
            <w:r w:rsidRPr="00623A6D">
              <w:t>OnLine</w:t>
            </w:r>
            <w:proofErr w:type="spellEnd"/>
            <w:r w:rsidRPr="00623A6D">
              <w:t xml:space="preserve"> Del 11286, a Coordinate Bench of DELHI HIGH COURT had referred to various authorities and observed as under:</w:t>
            </w:r>
          </w:p>
          <w:p w14:paraId="38994202" w14:textId="77777777" w:rsidR="00623A6D" w:rsidRPr="00623A6D" w:rsidRDefault="00623A6D" w:rsidP="00623A6D">
            <w:r w:rsidRPr="00623A6D">
              <w:rPr>
                <w:i/>
                <w:iCs/>
              </w:rPr>
              <w:t>“39. Applying the law explained in the above decisions, it can be safely concluded in the present case that there is a singular failure by the legislature to make a distinction between purchasing dealers who have bona fide transacted with the selling dealer by taking all precautions as required by the DVAT Act and those that have not. Therefore, there was need to restrict the denial of ITC only to the selling dealers who had failed to deposit the tax collected by them and not punish bona fide purchasing dealers. The latter cannot be expected to do the impossible. It is trite that a law that is not capable of honest compliance will fail in achieving its objective. If it seeks to visit disobedience with disproportionate consequences to a bona fide purchasing dealer, it will become vulnerable to invalidation on the touchstone of Article 14 of the Constitution.</w:t>
            </w:r>
          </w:p>
          <w:p w14:paraId="6A861E51" w14:textId="77777777" w:rsidR="00623A6D" w:rsidRPr="00623A6D" w:rsidRDefault="00623A6D" w:rsidP="00623A6D">
            <w:r w:rsidRPr="00623A6D">
              <w:rPr>
                <w:i/>
                <w:iCs/>
              </w:rPr>
              <w:t>40. *** *** ***</w:t>
            </w:r>
          </w:p>
          <w:p w14:paraId="3645F03A" w14:textId="77777777" w:rsidR="00623A6D" w:rsidRPr="00623A6D" w:rsidRDefault="00623A6D" w:rsidP="00623A6D">
            <w:r w:rsidRPr="00623A6D">
              <w:rPr>
                <w:i/>
                <w:iCs/>
              </w:rPr>
              <w:t xml:space="preserve">41. The Court respectfully concurs with the above analysis and holds that in the present case, the purchasing dealer is being asked to do the impossible, i.e. to anticipate the selling dealer who will not deposit with the Government the tax collected by him from those purchasing dealer and therefore avoid transacting with such selling dealers. Alternatively, what Section 9(2)(g) of the DVAT Act requires the purchasing dealer to do is that after transacting with the selling dealer, somehow ensure that the selling dealer does in fact deposit the tax collected from the purchasing dealer and if the selling dealer fails to do so, undergo the risk of being denied the ITC. Indeed Section 9(2)(g) of the DVAT Act places an onerous burden on a </w:t>
            </w:r>
            <w:proofErr w:type="spellStart"/>
            <w:r w:rsidRPr="00623A6D">
              <w:rPr>
                <w:i/>
                <w:iCs/>
              </w:rPr>
              <w:t>bonafide</w:t>
            </w:r>
            <w:proofErr w:type="spellEnd"/>
            <w:r w:rsidRPr="00623A6D">
              <w:rPr>
                <w:i/>
                <w:iCs/>
              </w:rPr>
              <w:t xml:space="preserve"> purchasing dealer.”</w:t>
            </w:r>
          </w:p>
          <w:p w14:paraId="341DC301" w14:textId="023AB742" w:rsidR="00623A6D" w:rsidRPr="00623A6D" w:rsidRDefault="00623A6D" w:rsidP="00623A6D">
            <w:r w:rsidRPr="00623A6D">
              <w:rPr>
                <w:i/>
                <w:iCs/>
              </w:rPr>
              <w:t xml:space="preserve">MADRAS HIGH COURT in case of Cleon </w:t>
            </w:r>
            <w:proofErr w:type="spellStart"/>
            <w:r w:rsidRPr="00623A6D">
              <w:rPr>
                <w:i/>
                <w:iCs/>
              </w:rPr>
              <w:t>Optobiz</w:t>
            </w:r>
            <w:proofErr w:type="spellEnd"/>
            <w:r w:rsidRPr="00623A6D">
              <w:rPr>
                <w:i/>
                <w:iCs/>
              </w:rPr>
              <w:t xml:space="preserve"> Pvt. Ltd. V/s The Assistant Commissioner (ST) </w:t>
            </w:r>
            <w:r w:rsidRPr="00623A6D">
              <w:rPr>
                <w:b/>
                <w:bCs/>
                <w:i/>
                <w:iCs/>
              </w:rPr>
              <w:t>[2024] (Madras)</w:t>
            </w:r>
            <w:r w:rsidRPr="00623A6D">
              <w:rPr>
                <w:i/>
                <w:iCs/>
              </w:rPr>
              <w:t xml:space="preserve"> held that, </w:t>
            </w:r>
            <w:proofErr w:type="gramStart"/>
            <w:r w:rsidRPr="00623A6D">
              <w:rPr>
                <w:i/>
                <w:iCs/>
              </w:rPr>
              <w:t>The</w:t>
            </w:r>
            <w:proofErr w:type="gramEnd"/>
            <w:r w:rsidRPr="00623A6D">
              <w:rPr>
                <w:i/>
                <w:iCs/>
              </w:rPr>
              <w:t xml:space="preserve"> impugned order is quashed for not duly considering the documentary evidence placed on record by the petitioner to establish that the purchases were genuine. As a corollary, the matter is remanded for reconsideration by the assessing officer and is directed to provide a reasonable opportunity to the petitioner and thereafter issue a fresh assessment order. The writ petition is disposed of without any order as to costs. Consequently, connected Miscellaneous Petitions are closed.</w:t>
            </w:r>
          </w:p>
          <w:p w14:paraId="74CEC059" w14:textId="21950D0F" w:rsidR="00623A6D" w:rsidRPr="00623A6D" w:rsidRDefault="00623A6D" w:rsidP="00623A6D">
            <w:r w:rsidRPr="00623A6D">
              <w:rPr>
                <w:i/>
                <w:iCs/>
              </w:rPr>
              <w:t xml:space="preserve">MADRAS HIGH COURT in case of D.Y. </w:t>
            </w:r>
            <w:proofErr w:type="spellStart"/>
            <w:r w:rsidRPr="00623A6D">
              <w:rPr>
                <w:i/>
                <w:iCs/>
              </w:rPr>
              <w:t>Beathel</w:t>
            </w:r>
            <w:proofErr w:type="spellEnd"/>
            <w:r w:rsidRPr="00623A6D">
              <w:rPr>
                <w:i/>
                <w:iCs/>
              </w:rPr>
              <w:t xml:space="preserve"> Enterprises V/s The State Tax Officer</w:t>
            </w:r>
            <w:r w:rsidRPr="00623A6D">
              <w:t> </w:t>
            </w:r>
            <w:r w:rsidRPr="00623A6D">
              <w:rPr>
                <w:b/>
                <w:bCs/>
                <w:i/>
                <w:iCs/>
              </w:rPr>
              <w:t>[2021] 33 (Madras)</w:t>
            </w:r>
            <w:r w:rsidRPr="00623A6D">
              <w:rPr>
                <w:i/>
                <w:iCs/>
              </w:rPr>
              <w:t xml:space="preserve">, held that There shall not be any automatic reversal of input tax credit from the buyer on </w:t>
            </w:r>
            <w:proofErr w:type="spellStart"/>
            <w:r w:rsidRPr="00623A6D">
              <w:rPr>
                <w:i/>
                <w:iCs/>
              </w:rPr>
              <w:t xml:space="preserve">non </w:t>
            </w:r>
            <w:r w:rsidRPr="00623A6D">
              <w:rPr>
                <w:i/>
                <w:iCs/>
              </w:rPr>
              <w:softHyphen/>
              <w:t>payment</w:t>
            </w:r>
            <w:proofErr w:type="spellEnd"/>
            <w:r w:rsidRPr="00623A6D">
              <w:rPr>
                <w:i/>
                <w:iCs/>
              </w:rPr>
              <w:t xml:space="preserve"> of tax by the seller. In case of default in payment of tax by the seller, recovery shall be made from the seller. Reversal of credit from buyer shall also be an option but only for exceptional situations.</w:t>
            </w:r>
          </w:p>
          <w:p w14:paraId="3AB5FF02" w14:textId="77777777" w:rsidR="00623A6D" w:rsidRPr="00623A6D" w:rsidRDefault="00623A6D" w:rsidP="00623A6D">
            <w:r w:rsidRPr="00623A6D">
              <w:t>In view of the above, we are entitled to the Refund of the ITC on goods purchased by us.</w:t>
            </w:r>
          </w:p>
          <w:p w14:paraId="7304C01F" w14:textId="77777777" w:rsidR="00623A6D" w:rsidRPr="00623A6D" w:rsidRDefault="00623A6D" w:rsidP="00623A6D">
            <w:r w:rsidRPr="00623A6D">
              <w:t>We humbly request your good self to consider the above submissions and drop the proceeding under the said demand order. We pray for a personal hearing on the matter and submit that the above grounds are without prejudice to one another.</w:t>
            </w:r>
          </w:p>
          <w:p w14:paraId="184B61A5" w14:textId="77777777" w:rsidR="00623A6D" w:rsidRPr="00623A6D" w:rsidRDefault="00623A6D" w:rsidP="00623A6D">
            <w:r w:rsidRPr="00623A6D">
              <w:t>Thanking you,</w:t>
            </w:r>
          </w:p>
          <w:p w14:paraId="1EEDBE80" w14:textId="77777777" w:rsidR="00623A6D" w:rsidRPr="00623A6D" w:rsidRDefault="00623A6D" w:rsidP="00623A6D">
            <w:r w:rsidRPr="00623A6D">
              <w:t>Yours faithfully,</w:t>
            </w:r>
          </w:p>
        </w:tc>
      </w:tr>
    </w:tbl>
    <w:p w14:paraId="1754F86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6D"/>
    <w:rsid w:val="00031CAE"/>
    <w:rsid w:val="00447B58"/>
    <w:rsid w:val="005237F3"/>
    <w:rsid w:val="00623A6D"/>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742D"/>
  <w15:chartTrackingRefBased/>
  <w15:docId w15:val="{AA2189E8-DA0B-4890-9600-BA7C31CC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A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A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A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A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A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A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A6D"/>
    <w:rPr>
      <w:rFonts w:eastAsiaTheme="majorEastAsia" w:cstheme="majorBidi"/>
      <w:color w:val="272727" w:themeColor="text1" w:themeTint="D8"/>
    </w:rPr>
  </w:style>
  <w:style w:type="paragraph" w:styleId="Title">
    <w:name w:val="Title"/>
    <w:basedOn w:val="Normal"/>
    <w:next w:val="Normal"/>
    <w:link w:val="TitleChar"/>
    <w:uiPriority w:val="10"/>
    <w:qFormat/>
    <w:rsid w:val="00623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A6D"/>
    <w:pPr>
      <w:spacing w:before="160"/>
      <w:jc w:val="center"/>
    </w:pPr>
    <w:rPr>
      <w:i/>
      <w:iCs/>
      <w:color w:val="404040" w:themeColor="text1" w:themeTint="BF"/>
    </w:rPr>
  </w:style>
  <w:style w:type="character" w:customStyle="1" w:styleId="QuoteChar">
    <w:name w:val="Quote Char"/>
    <w:basedOn w:val="DefaultParagraphFont"/>
    <w:link w:val="Quote"/>
    <w:uiPriority w:val="29"/>
    <w:rsid w:val="00623A6D"/>
    <w:rPr>
      <w:i/>
      <w:iCs/>
      <w:color w:val="404040" w:themeColor="text1" w:themeTint="BF"/>
    </w:rPr>
  </w:style>
  <w:style w:type="paragraph" w:styleId="ListParagraph">
    <w:name w:val="List Paragraph"/>
    <w:basedOn w:val="Normal"/>
    <w:uiPriority w:val="34"/>
    <w:qFormat/>
    <w:rsid w:val="00623A6D"/>
    <w:pPr>
      <w:ind w:left="720"/>
      <w:contextualSpacing/>
    </w:pPr>
  </w:style>
  <w:style w:type="character" w:styleId="IntenseEmphasis">
    <w:name w:val="Intense Emphasis"/>
    <w:basedOn w:val="DefaultParagraphFont"/>
    <w:uiPriority w:val="21"/>
    <w:qFormat/>
    <w:rsid w:val="00623A6D"/>
    <w:rPr>
      <w:i/>
      <w:iCs/>
      <w:color w:val="2F5496" w:themeColor="accent1" w:themeShade="BF"/>
    </w:rPr>
  </w:style>
  <w:style w:type="paragraph" w:styleId="IntenseQuote">
    <w:name w:val="Intense Quote"/>
    <w:basedOn w:val="Normal"/>
    <w:next w:val="Normal"/>
    <w:link w:val="IntenseQuoteChar"/>
    <w:uiPriority w:val="30"/>
    <w:qFormat/>
    <w:rsid w:val="00623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A6D"/>
    <w:rPr>
      <w:i/>
      <w:iCs/>
      <w:color w:val="2F5496" w:themeColor="accent1" w:themeShade="BF"/>
    </w:rPr>
  </w:style>
  <w:style w:type="character" w:styleId="IntenseReference">
    <w:name w:val="Intense Reference"/>
    <w:basedOn w:val="DefaultParagraphFont"/>
    <w:uiPriority w:val="32"/>
    <w:qFormat/>
    <w:rsid w:val="00623A6D"/>
    <w:rPr>
      <w:b/>
      <w:bCs/>
      <w:smallCaps/>
      <w:color w:val="2F5496" w:themeColor="accent1" w:themeShade="BF"/>
      <w:spacing w:val="5"/>
    </w:rPr>
  </w:style>
  <w:style w:type="character" w:styleId="Hyperlink">
    <w:name w:val="Hyperlink"/>
    <w:basedOn w:val="DefaultParagraphFont"/>
    <w:uiPriority w:val="99"/>
    <w:unhideWhenUsed/>
    <w:rsid w:val="00623A6D"/>
    <w:rPr>
      <w:color w:val="0563C1" w:themeColor="hyperlink"/>
      <w:u w:val="single"/>
    </w:rPr>
  </w:style>
  <w:style w:type="character" w:styleId="UnresolvedMention">
    <w:name w:val="Unresolved Mention"/>
    <w:basedOn w:val="DefaultParagraphFont"/>
    <w:uiPriority w:val="99"/>
    <w:semiHidden/>
    <w:unhideWhenUsed/>
    <w:rsid w:val="00623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2025-10-31T05:29:00Z</dcterms:created>
  <dcterms:modified xsi:type="dcterms:W3CDTF">2025-10-31T05:33:00Z</dcterms:modified>
</cp:coreProperties>
</file>