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301D"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b/>
          <w:bCs/>
          <w:color w:val="000000" w:themeColor="text1"/>
          <w:kern w:val="0"/>
          <w:sz w:val="36"/>
          <w:szCs w:val="36"/>
          <w14:ligatures w14:val="none"/>
        </w:rPr>
        <w:t>Reply to the notice received for Rejection of Refund application filed under second proviso to section 54(3) of CGST Act, 2017</w:t>
      </w:r>
    </w:p>
    <w:p w14:paraId="0856BB67"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Date: ________</w:t>
      </w:r>
    </w:p>
    <w:p w14:paraId="0260236E"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To</w:t>
      </w:r>
    </w:p>
    <w:p w14:paraId="3D3BF19A"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The Jurisdictional Officer,</w:t>
      </w:r>
    </w:p>
    <w:p w14:paraId="3FB07518"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______ Division,</w:t>
      </w:r>
    </w:p>
    <w:p w14:paraId="6F88E385"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______ Commissionerate</w:t>
      </w:r>
    </w:p>
    <w:p w14:paraId="718D624B"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b/>
          <w:bCs/>
          <w:color w:val="000000" w:themeColor="text1"/>
          <w:kern w:val="0"/>
          <w:sz w:val="36"/>
          <w:szCs w:val="36"/>
          <w14:ligatures w14:val="none"/>
        </w:rPr>
        <w:t>Sub: Reply to the notice received for Rejection of Refund application filed under second proviso to section 54(3) of CGST Act, 2017.</w:t>
      </w:r>
    </w:p>
    <w:p w14:paraId="5800D68C"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b/>
          <w:bCs/>
          <w:color w:val="000000" w:themeColor="text1"/>
          <w:kern w:val="0"/>
          <w:sz w:val="36"/>
          <w:szCs w:val="36"/>
          <w14:ligatures w14:val="none"/>
        </w:rPr>
        <w:t>Ref: Your notice number-----------------------------------------------------------dated-----------</w:t>
      </w:r>
    </w:p>
    <w:p w14:paraId="3333AA14" w14:textId="2F1F833B"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We are in receipt of the above referred show cause notice rejecting refund claimed for the period ………………… stating that such refund is not allowable in view of second proviso of </w:t>
      </w:r>
      <w:r w:rsidRPr="00E36B73">
        <w:rPr>
          <w:rFonts w:ascii="Default Font" w:eastAsia="Times New Roman" w:hAnsi="Default Font" w:cs="Times New Roman"/>
          <w:b/>
          <w:bCs/>
          <w:color w:val="000000" w:themeColor="text1"/>
          <w:kern w:val="0"/>
          <w:sz w:val="36"/>
          <w:szCs w:val="36"/>
          <w:u w:val="single"/>
          <w14:ligatures w14:val="none"/>
        </w:rPr>
        <w:t>section 54(3)</w:t>
      </w:r>
      <w:r w:rsidRPr="00E36B73">
        <w:rPr>
          <w:rFonts w:ascii="Default Font" w:eastAsia="Times New Roman" w:hAnsi="Default Font" w:cs="Times New Roman"/>
          <w:color w:val="000000" w:themeColor="text1"/>
          <w:kern w:val="0"/>
          <w:sz w:val="36"/>
          <w:szCs w:val="36"/>
          <w14:ligatures w14:val="none"/>
        </w:rPr>
        <w:t> of CGST Act as the higher duty draw back has been claimed by the dealer.</w:t>
      </w:r>
    </w:p>
    <w:p w14:paraId="60108659"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 xml:space="preserve">We would like to submit that the above referred notice rejecting the refund is not in accordance with law as the refund claimed by us is not irregular. In this connection we submit our reply as </w:t>
      </w:r>
      <w:proofErr w:type="gramStart"/>
      <w:r w:rsidRPr="00E36B73">
        <w:rPr>
          <w:rFonts w:ascii="Default Font" w:eastAsia="Times New Roman" w:hAnsi="Default Font" w:cs="Times New Roman"/>
          <w:color w:val="000000" w:themeColor="text1"/>
          <w:kern w:val="0"/>
          <w:sz w:val="36"/>
          <w:szCs w:val="36"/>
          <w14:ligatures w14:val="none"/>
        </w:rPr>
        <w:t>under:-</w:t>
      </w:r>
      <w:proofErr w:type="gramEnd"/>
    </w:p>
    <w:p w14:paraId="74FEF04D" w14:textId="18012C67"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b/>
          <w:bCs/>
          <w:i/>
          <w:iCs/>
          <w:color w:val="000000" w:themeColor="text1"/>
          <w:kern w:val="0"/>
          <w:sz w:val="36"/>
          <w:szCs w:val="36"/>
          <w:u w:val="single"/>
          <w14:ligatures w14:val="none"/>
        </w:rPr>
        <w:t>Section 16</w:t>
      </w:r>
      <w:r w:rsidRPr="00E36B73">
        <w:rPr>
          <w:rFonts w:ascii="Default Font" w:eastAsia="Times New Roman" w:hAnsi="Default Font" w:cs="Times New Roman"/>
          <w:i/>
          <w:iCs/>
          <w:color w:val="000000" w:themeColor="text1"/>
          <w:kern w:val="0"/>
          <w:sz w:val="36"/>
          <w:szCs w:val="36"/>
          <w14:ligatures w14:val="none"/>
        </w:rPr>
        <w:t xml:space="preserve"> of the IGST Act, 2017 provides for zero rating of certain supplies, namely exports, and supplies made to the Special Economic Zone Unit or Special Economic Zone Developer and the manner of zero rating. It is not in dispute that the goods in question are one of zero rated </w:t>
      </w:r>
      <w:r w:rsidRPr="00E36B73">
        <w:rPr>
          <w:rFonts w:ascii="Default Font" w:eastAsia="Times New Roman" w:hAnsi="Default Font" w:cs="Times New Roman"/>
          <w:i/>
          <w:iCs/>
          <w:color w:val="000000" w:themeColor="text1"/>
          <w:kern w:val="0"/>
          <w:sz w:val="36"/>
          <w:szCs w:val="36"/>
          <w14:ligatures w14:val="none"/>
        </w:rPr>
        <w:lastRenderedPageBreak/>
        <w:t>supplies. A registered person making zero rated supplies is eligible to claim refund under the options as provided in sub-clauses (a) and (b) to clause (3) of </w:t>
      </w:r>
      <w:r w:rsidRPr="00E36B73">
        <w:rPr>
          <w:rFonts w:ascii="Default Font" w:eastAsia="Times New Roman" w:hAnsi="Default Font" w:cs="Times New Roman"/>
          <w:b/>
          <w:bCs/>
          <w:i/>
          <w:iCs/>
          <w:color w:val="000000" w:themeColor="text1"/>
          <w:kern w:val="0"/>
          <w:sz w:val="36"/>
          <w:szCs w:val="36"/>
          <w:u w:val="single"/>
          <w14:ligatures w14:val="none"/>
        </w:rPr>
        <w:t>Section 16</w:t>
      </w:r>
      <w:r w:rsidRPr="00E36B73">
        <w:rPr>
          <w:rFonts w:ascii="Default Font" w:eastAsia="Times New Roman" w:hAnsi="Default Font" w:cs="Times New Roman"/>
          <w:i/>
          <w:iCs/>
          <w:color w:val="000000" w:themeColor="text1"/>
          <w:kern w:val="0"/>
          <w:sz w:val="36"/>
          <w:szCs w:val="36"/>
          <w14:ligatures w14:val="none"/>
        </w:rPr>
        <w:t> referred to above.</w:t>
      </w:r>
    </w:p>
    <w:p w14:paraId="7355B05B" w14:textId="254627BF"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b/>
          <w:bCs/>
          <w:i/>
          <w:iCs/>
          <w:color w:val="000000" w:themeColor="text1"/>
          <w:kern w:val="0"/>
          <w:sz w:val="36"/>
          <w:szCs w:val="36"/>
          <w:u w:val="single"/>
          <w14:ligatures w14:val="none"/>
        </w:rPr>
        <w:t>Rule 96</w:t>
      </w:r>
      <w:r w:rsidRPr="00E36B73">
        <w:rPr>
          <w:rFonts w:ascii="Default Font" w:eastAsia="Times New Roman" w:hAnsi="Default Font" w:cs="Times New Roman"/>
          <w:b/>
          <w:bCs/>
          <w:i/>
          <w:iCs/>
          <w:color w:val="000000" w:themeColor="text1"/>
          <w:kern w:val="0"/>
          <w:sz w:val="36"/>
          <w:szCs w:val="36"/>
          <w14:ligatures w14:val="none"/>
        </w:rPr>
        <w:t> of the CGST Rules provides for a deeming fiction. The shipping bill that the exporter of goods may file is deemed to be an application for refund of the integrated tax paid on the goods exported out of India. </w:t>
      </w:r>
      <w:r w:rsidRPr="00E36B73">
        <w:rPr>
          <w:rFonts w:ascii="Default Font" w:eastAsia="Times New Roman" w:hAnsi="Default Font" w:cs="Times New Roman"/>
          <w:b/>
          <w:bCs/>
          <w:i/>
          <w:iCs/>
          <w:color w:val="000000" w:themeColor="text1"/>
          <w:kern w:val="0"/>
          <w:sz w:val="36"/>
          <w:szCs w:val="36"/>
          <w:u w:val="single"/>
          <w14:ligatures w14:val="none"/>
        </w:rPr>
        <w:t>Section 54</w:t>
      </w:r>
      <w:r w:rsidRPr="00E36B73">
        <w:rPr>
          <w:rFonts w:ascii="Default Font" w:eastAsia="Times New Roman" w:hAnsi="Default Font" w:cs="Times New Roman"/>
          <w:b/>
          <w:bCs/>
          <w:i/>
          <w:iCs/>
          <w:color w:val="000000" w:themeColor="text1"/>
          <w:kern w:val="0"/>
          <w:sz w:val="36"/>
          <w:szCs w:val="36"/>
          <w14:ligatures w14:val="none"/>
        </w:rPr>
        <w:t> referred to above should be read along with </w:t>
      </w:r>
      <w:r w:rsidRPr="00E36B73">
        <w:rPr>
          <w:rFonts w:ascii="Default Font" w:eastAsia="Times New Roman" w:hAnsi="Default Font" w:cs="Times New Roman"/>
          <w:b/>
          <w:bCs/>
          <w:i/>
          <w:iCs/>
          <w:color w:val="000000" w:themeColor="text1"/>
          <w:kern w:val="0"/>
          <w:sz w:val="36"/>
          <w:szCs w:val="36"/>
          <w:u w:val="single"/>
          <w14:ligatures w14:val="none"/>
        </w:rPr>
        <w:t>Rule 96</w:t>
      </w:r>
      <w:r w:rsidRPr="00E36B73">
        <w:rPr>
          <w:rFonts w:ascii="Default Font" w:eastAsia="Times New Roman" w:hAnsi="Default Font" w:cs="Times New Roman"/>
          <w:b/>
          <w:bCs/>
          <w:i/>
          <w:iCs/>
          <w:color w:val="000000" w:themeColor="text1"/>
          <w:kern w:val="0"/>
          <w:sz w:val="36"/>
          <w:szCs w:val="36"/>
          <w14:ligatures w14:val="none"/>
        </w:rPr>
        <w:t> of the Rules. </w:t>
      </w:r>
      <w:r w:rsidRPr="00E36B73">
        <w:rPr>
          <w:rFonts w:ascii="Default Font" w:eastAsia="Times New Roman" w:hAnsi="Default Font" w:cs="Times New Roman"/>
          <w:b/>
          <w:bCs/>
          <w:i/>
          <w:iCs/>
          <w:color w:val="000000" w:themeColor="text1"/>
          <w:kern w:val="0"/>
          <w:sz w:val="36"/>
          <w:szCs w:val="36"/>
          <w:u w:val="single"/>
          <w14:ligatures w14:val="none"/>
        </w:rPr>
        <w:t>Rule 96</w:t>
      </w:r>
      <w:r w:rsidRPr="00E36B73">
        <w:rPr>
          <w:rFonts w:ascii="Default Font" w:eastAsia="Times New Roman" w:hAnsi="Default Font" w:cs="Times New Roman"/>
          <w:b/>
          <w:bCs/>
          <w:i/>
          <w:iCs/>
          <w:color w:val="000000" w:themeColor="text1"/>
          <w:kern w:val="0"/>
          <w:sz w:val="36"/>
          <w:szCs w:val="36"/>
          <w14:ligatures w14:val="none"/>
        </w:rPr>
        <w:t>(4) makes it abundantly clear that the claim for refund can be withheld only in two circumstances as provided in sub-clauses (a) and (b) respectively of clause (4) of </w:t>
      </w:r>
      <w:r w:rsidRPr="00E36B73">
        <w:rPr>
          <w:rFonts w:ascii="Default Font" w:eastAsia="Times New Roman" w:hAnsi="Default Font" w:cs="Times New Roman"/>
          <w:b/>
          <w:bCs/>
          <w:i/>
          <w:iCs/>
          <w:color w:val="000000" w:themeColor="text1"/>
          <w:kern w:val="0"/>
          <w:sz w:val="36"/>
          <w:szCs w:val="36"/>
          <w:u w:val="single"/>
          <w14:ligatures w14:val="none"/>
        </w:rPr>
        <w:t>Rule 96</w:t>
      </w:r>
      <w:r w:rsidRPr="00E36B73">
        <w:rPr>
          <w:rFonts w:ascii="Default Font" w:eastAsia="Times New Roman" w:hAnsi="Default Font" w:cs="Times New Roman"/>
          <w:b/>
          <w:bCs/>
          <w:i/>
          <w:iCs/>
          <w:color w:val="000000" w:themeColor="text1"/>
          <w:kern w:val="0"/>
          <w:sz w:val="36"/>
          <w:szCs w:val="36"/>
          <w14:ligatures w14:val="none"/>
        </w:rPr>
        <w:t> of the Rules, 2017.</w:t>
      </w:r>
    </w:p>
    <w:p w14:paraId="395B92F6" w14:textId="46D1760E"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b/>
          <w:bCs/>
          <w:i/>
          <w:iCs/>
          <w:color w:val="000000" w:themeColor="text1"/>
          <w:kern w:val="0"/>
          <w:sz w:val="36"/>
          <w:szCs w:val="36"/>
          <w14:ligatures w14:val="none"/>
        </w:rPr>
        <w:t>In the aforesaid context, the proper officer has fairly conceded that the case of the writ-applicant is not falling within sub-clauses (a) and (b) respectively of clause (4) of </w:t>
      </w:r>
      <w:r w:rsidRPr="00E36B73">
        <w:rPr>
          <w:rFonts w:ascii="Default Font" w:eastAsia="Times New Roman" w:hAnsi="Default Font" w:cs="Times New Roman"/>
          <w:b/>
          <w:bCs/>
          <w:i/>
          <w:iCs/>
          <w:color w:val="000000" w:themeColor="text1"/>
          <w:kern w:val="0"/>
          <w:sz w:val="36"/>
          <w:szCs w:val="36"/>
          <w:u w:val="single"/>
          <w14:ligatures w14:val="none"/>
        </w:rPr>
        <w:t>Rule 96</w:t>
      </w:r>
      <w:r w:rsidRPr="00E36B73">
        <w:rPr>
          <w:rFonts w:ascii="Default Font" w:eastAsia="Times New Roman" w:hAnsi="Default Font" w:cs="Times New Roman"/>
          <w:b/>
          <w:bCs/>
          <w:i/>
          <w:iCs/>
          <w:color w:val="000000" w:themeColor="text1"/>
          <w:kern w:val="0"/>
          <w:sz w:val="36"/>
          <w:szCs w:val="36"/>
          <w14:ligatures w14:val="none"/>
        </w:rPr>
        <w:t> of the Rules, 2017. The stance of the department is that, as the writ-applicant had availed higher duty drawback and as there is no provision for accepting the refund of such higher duty drawback, the applicant is not entitled to seek the refund of the IGST paid in connection with the goods exported, i.e. `zero rated supplies`.</w:t>
      </w:r>
    </w:p>
    <w:p w14:paraId="0921C39C" w14:textId="77777777"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The proper officer has invoked the Circular No.37/2018-Customs dated 09/10/2018 to deny the refund. Proper officer has relied on the Notification 131/2016–</w:t>
      </w:r>
      <w:proofErr w:type="spellStart"/>
      <w:r w:rsidRPr="00E36B73">
        <w:rPr>
          <w:rFonts w:ascii="Default Font" w:eastAsia="Times New Roman" w:hAnsi="Default Font" w:cs="Times New Roman"/>
          <w:color w:val="000000" w:themeColor="text1"/>
          <w:kern w:val="0"/>
          <w:sz w:val="36"/>
          <w:szCs w:val="36"/>
          <w14:ligatures w14:val="none"/>
        </w:rPr>
        <w:t>Cus</w:t>
      </w:r>
      <w:proofErr w:type="spellEnd"/>
      <w:r w:rsidRPr="00E36B73">
        <w:rPr>
          <w:rFonts w:ascii="Default Font" w:eastAsia="Times New Roman" w:hAnsi="Default Font" w:cs="Times New Roman"/>
          <w:color w:val="000000" w:themeColor="text1"/>
          <w:kern w:val="0"/>
          <w:sz w:val="36"/>
          <w:szCs w:val="36"/>
          <w14:ligatures w14:val="none"/>
        </w:rPr>
        <w:t>. (N.T.) dated 31.10.2016, which specified the rate of drawback subject to the notes and conditions mentioned in the notification. It is submitted that in light of the Notification 131/2016–</w:t>
      </w:r>
      <w:proofErr w:type="spellStart"/>
      <w:proofErr w:type="gramStart"/>
      <w:r w:rsidRPr="00E36B73">
        <w:rPr>
          <w:rFonts w:ascii="Default Font" w:eastAsia="Times New Roman" w:hAnsi="Default Font" w:cs="Times New Roman"/>
          <w:color w:val="000000" w:themeColor="text1"/>
          <w:kern w:val="0"/>
          <w:sz w:val="36"/>
          <w:szCs w:val="36"/>
          <w14:ligatures w14:val="none"/>
        </w:rPr>
        <w:t>Cus</w:t>
      </w:r>
      <w:proofErr w:type="spellEnd"/>
      <w:r w:rsidRPr="00E36B73">
        <w:rPr>
          <w:rFonts w:ascii="Default Font" w:eastAsia="Times New Roman" w:hAnsi="Default Font" w:cs="Times New Roman"/>
          <w:color w:val="000000" w:themeColor="text1"/>
          <w:kern w:val="0"/>
          <w:sz w:val="36"/>
          <w:szCs w:val="36"/>
          <w14:ligatures w14:val="none"/>
        </w:rPr>
        <w:t>.(</w:t>
      </w:r>
      <w:proofErr w:type="gramEnd"/>
      <w:r w:rsidRPr="00E36B73">
        <w:rPr>
          <w:rFonts w:ascii="Default Font" w:eastAsia="Times New Roman" w:hAnsi="Default Font" w:cs="Times New Roman"/>
          <w:color w:val="000000" w:themeColor="text1"/>
          <w:kern w:val="0"/>
          <w:sz w:val="36"/>
          <w:szCs w:val="36"/>
          <w14:ligatures w14:val="none"/>
        </w:rPr>
        <w:t>N.T.) dated 31/10/2016, we have not availed the higher duty drawback as the rates of higher and lower duty drawback remains the same i.e. 2 percent. Your stance that the condition no.7 of the notification dated 31/10/2016 mentions that if any exporter claims drawback under Column (4) and (5), it means that the drawback includes the Customs, Central Excise and Service Tax component and it`s called the Higher drawback. Similarly, if any exporter claims drawback under Column (6) and (7), it means the drawback included Customs only and it`s called the Lower drawback. After the introduction of the IGST, the condition 11 of the Notification 131/2016–Cust (N.T.) dated 31/10/2016 has been amended by the Notification 59/2017, dated 29/06/2017. The Condition No.11(d) mentions that the drawback under Column (4) and (5) i.e. Higher Drawback is not applicable to the goods if goods is exported by claiming refund of the integrated goods and services tax paid on such exports. Adverting to the Circular No.37/2018-Customs contentions were raised that the exporters had availed the option to take drawback at higher rate in place of the IGST refund out of their own volition. Considering the fact that the exporters have made aforesaid declaration while claiming the higher rate of drawback, it has been decided that it would not be justified allowing the exporters to avail the IGST refund after initially claiming the benefit of higher drawback.</w:t>
      </w:r>
    </w:p>
    <w:p w14:paraId="6F59DBC9" w14:textId="77777777"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 xml:space="preserve">The rates of higher and lower duty drawback </w:t>
      </w:r>
      <w:proofErr w:type="gramStart"/>
      <w:r w:rsidRPr="00E36B73">
        <w:rPr>
          <w:rFonts w:ascii="Default Font" w:eastAsia="Times New Roman" w:hAnsi="Default Font" w:cs="Times New Roman"/>
          <w:color w:val="000000" w:themeColor="text1"/>
          <w:kern w:val="0"/>
          <w:sz w:val="36"/>
          <w:szCs w:val="36"/>
          <w14:ligatures w14:val="none"/>
        </w:rPr>
        <w:t>remains</w:t>
      </w:r>
      <w:proofErr w:type="gramEnd"/>
      <w:r w:rsidRPr="00E36B73">
        <w:rPr>
          <w:rFonts w:ascii="Default Font" w:eastAsia="Times New Roman" w:hAnsi="Default Font" w:cs="Times New Roman"/>
          <w:color w:val="000000" w:themeColor="text1"/>
          <w:kern w:val="0"/>
          <w:sz w:val="36"/>
          <w:szCs w:val="36"/>
          <w14:ligatures w14:val="none"/>
        </w:rPr>
        <w:t xml:space="preserve"> the same </w:t>
      </w:r>
      <w:proofErr w:type="spellStart"/>
      <w:r w:rsidRPr="00E36B73">
        <w:rPr>
          <w:rFonts w:ascii="Default Font" w:eastAsia="Times New Roman" w:hAnsi="Default Font" w:cs="Times New Roman"/>
          <w:color w:val="000000" w:themeColor="text1"/>
          <w:kern w:val="0"/>
          <w:sz w:val="36"/>
          <w:szCs w:val="36"/>
          <w14:ligatures w14:val="none"/>
        </w:rPr>
        <w:t>i.e.two</w:t>
      </w:r>
      <w:proofErr w:type="spellEnd"/>
      <w:r w:rsidRPr="00E36B73">
        <w:rPr>
          <w:rFonts w:ascii="Default Font" w:eastAsia="Times New Roman" w:hAnsi="Default Font" w:cs="Times New Roman"/>
          <w:color w:val="000000" w:themeColor="text1"/>
          <w:kern w:val="0"/>
          <w:sz w:val="36"/>
          <w:szCs w:val="36"/>
          <w14:ligatures w14:val="none"/>
        </w:rPr>
        <w:t xml:space="preserve"> percent and no occasion would arise to refund the differential amount as stated by the proper officer. The Circular No.37/2018Customs, dated 09/10/2018 referred to above by the proper officer would apply only to the cases, where the exporters have availed the option to take drawback at the higher rate in place of the IGST refund out of their own volition. In the instant case, we have never availed the option to take drawback at higher rate in place of the IGST refund. In such circumstances, the Circular is not applicable to the facts of the present case.</w:t>
      </w:r>
    </w:p>
    <w:p w14:paraId="65519CFD" w14:textId="77777777"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Even as per the Condition No.7 of the Notification 131/2016–</w:t>
      </w:r>
      <w:proofErr w:type="spellStart"/>
      <w:r w:rsidRPr="00E36B73">
        <w:rPr>
          <w:rFonts w:ascii="Default Font" w:eastAsia="Times New Roman" w:hAnsi="Default Font" w:cs="Times New Roman"/>
          <w:color w:val="000000" w:themeColor="text1"/>
          <w:kern w:val="0"/>
          <w:sz w:val="36"/>
          <w:szCs w:val="36"/>
          <w14:ligatures w14:val="none"/>
        </w:rPr>
        <w:t>Cus</w:t>
      </w:r>
      <w:proofErr w:type="spellEnd"/>
      <w:r w:rsidRPr="00E36B73">
        <w:rPr>
          <w:rFonts w:ascii="Default Font" w:eastAsia="Times New Roman" w:hAnsi="Default Font" w:cs="Times New Roman"/>
          <w:color w:val="000000" w:themeColor="text1"/>
          <w:kern w:val="0"/>
          <w:sz w:val="36"/>
          <w:szCs w:val="36"/>
          <w14:ligatures w14:val="none"/>
        </w:rPr>
        <w:t xml:space="preserve">. (N.T.) dated 31/10/2016, if the rate indicated in the columns (4) i.e. higher duty drawback and (6) i.e. lower duty drawback </w:t>
      </w:r>
      <w:proofErr w:type="gramStart"/>
      <w:r w:rsidRPr="00E36B73">
        <w:rPr>
          <w:rFonts w:ascii="Default Font" w:eastAsia="Times New Roman" w:hAnsi="Default Font" w:cs="Times New Roman"/>
          <w:color w:val="000000" w:themeColor="text1"/>
          <w:kern w:val="0"/>
          <w:sz w:val="36"/>
          <w:szCs w:val="36"/>
          <w14:ligatures w14:val="none"/>
        </w:rPr>
        <w:t>are</w:t>
      </w:r>
      <w:proofErr w:type="gramEnd"/>
      <w:r w:rsidRPr="00E36B73">
        <w:rPr>
          <w:rFonts w:ascii="Default Font" w:eastAsia="Times New Roman" w:hAnsi="Default Font" w:cs="Times New Roman"/>
          <w:color w:val="000000" w:themeColor="text1"/>
          <w:kern w:val="0"/>
          <w:sz w:val="36"/>
          <w:szCs w:val="36"/>
          <w14:ligatures w14:val="none"/>
        </w:rPr>
        <w:t xml:space="preserve"> the same, then it shall necessarily imply that the same pertains only to the Customs component and is available irrespective of whether the exporter has availed of the CENVET facility or not.</w:t>
      </w:r>
    </w:p>
    <w:p w14:paraId="07007034" w14:textId="77777777" w:rsidR="00E36B73" w:rsidRPr="00E36B73" w:rsidRDefault="00E36B73" w:rsidP="00E36B7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 xml:space="preserve">We have exported --------------- HSN Code -------------- which attracts the same rate under both the columns (4) &amp; (6) respectively i.e. 2 per cent. </w:t>
      </w:r>
      <w:proofErr w:type="gramStart"/>
      <w:r w:rsidRPr="00E36B73">
        <w:rPr>
          <w:rFonts w:ascii="Default Font" w:eastAsia="Times New Roman" w:hAnsi="Default Font" w:cs="Times New Roman"/>
          <w:color w:val="000000" w:themeColor="text1"/>
          <w:kern w:val="0"/>
          <w:sz w:val="36"/>
          <w:szCs w:val="36"/>
          <w14:ligatures w14:val="none"/>
        </w:rPr>
        <w:t>Thus</w:t>
      </w:r>
      <w:proofErr w:type="gramEnd"/>
      <w:r w:rsidRPr="00E36B73">
        <w:rPr>
          <w:rFonts w:ascii="Default Font" w:eastAsia="Times New Roman" w:hAnsi="Default Font" w:cs="Times New Roman"/>
          <w:color w:val="000000" w:themeColor="text1"/>
          <w:kern w:val="0"/>
          <w:sz w:val="36"/>
          <w:szCs w:val="36"/>
          <w14:ligatures w14:val="none"/>
        </w:rPr>
        <w:t xml:space="preserve"> it is evident that we have claimed drawback of the customs component only for their exports and there arises no question of denying the refund of IGST. The rationale for not allowing the refund of IGST for those exporters, who claim higher duty drawback is that the higher duty drawback reflects the elements of Customs, Central Excise and Service Tax taken together and since higher duty drawback is already being availed than granting the IGST refund would amount to double benefit as the Central Excise and Service Tax has been subsumed in the GST. In the case of the writ-applicant, the drawback rates being the same, it represents only the Customs elements, which did not get subsumed in the GST and thus, the writ-applicant cannot be said to have availed double benefit i.e. of the IGST refund and higher duty drawback.</w:t>
      </w:r>
    </w:p>
    <w:p w14:paraId="36DD29A6"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proofErr w:type="gramStart"/>
      <w:r w:rsidRPr="00E36B73">
        <w:rPr>
          <w:rFonts w:ascii="Default Font" w:eastAsia="Times New Roman" w:hAnsi="Default Font" w:cs="Times New Roman"/>
          <w:color w:val="000000" w:themeColor="text1"/>
          <w:kern w:val="0"/>
          <w:sz w:val="36"/>
          <w:szCs w:val="36"/>
          <w14:ligatures w14:val="none"/>
        </w:rPr>
        <w:t>Prayer:-</w:t>
      </w:r>
      <w:proofErr w:type="gramEnd"/>
      <w:r w:rsidRPr="00E36B73">
        <w:rPr>
          <w:rFonts w:ascii="Default Font" w:eastAsia="Times New Roman" w:hAnsi="Default Font" w:cs="Times New Roman"/>
          <w:color w:val="000000" w:themeColor="text1"/>
          <w:kern w:val="0"/>
          <w:sz w:val="36"/>
          <w:szCs w:val="36"/>
          <w14:ligatures w14:val="none"/>
        </w:rPr>
        <w:t xml:space="preserve"> In view of the above, it is respectfully prayed that the Hon`ble ............................. may </w:t>
      </w:r>
      <w:proofErr w:type="spellStart"/>
      <w:r w:rsidRPr="00E36B73">
        <w:rPr>
          <w:rFonts w:ascii="Default Font" w:eastAsia="Times New Roman" w:hAnsi="Default Font" w:cs="Times New Roman"/>
          <w:color w:val="000000" w:themeColor="text1"/>
          <w:kern w:val="0"/>
          <w:sz w:val="36"/>
          <w:szCs w:val="36"/>
          <w14:ligatures w14:val="none"/>
        </w:rPr>
        <w:t>pleased</w:t>
      </w:r>
      <w:proofErr w:type="spellEnd"/>
      <w:r w:rsidRPr="00E36B73">
        <w:rPr>
          <w:rFonts w:ascii="Default Font" w:eastAsia="Times New Roman" w:hAnsi="Default Font" w:cs="Times New Roman"/>
          <w:color w:val="000000" w:themeColor="text1"/>
          <w:kern w:val="0"/>
          <w:sz w:val="36"/>
          <w:szCs w:val="36"/>
          <w14:ligatures w14:val="none"/>
        </w:rPr>
        <w:t xml:space="preserve"> to—</w:t>
      </w:r>
    </w:p>
    <w:p w14:paraId="5D9385F7" w14:textId="77777777" w:rsidR="00E36B73" w:rsidRPr="00E36B73" w:rsidRDefault="00E36B73" w:rsidP="00E36B73">
      <w:pPr>
        <w:spacing w:after="150" w:line="408" w:lineRule="atLeast"/>
        <w:rPr>
          <w:rFonts w:ascii="Default Font" w:eastAsia="Times New Roman" w:hAnsi="Default Font" w:cs="Times New Roman"/>
          <w:color w:val="000000" w:themeColor="text1"/>
          <w:kern w:val="0"/>
          <w:sz w:val="36"/>
          <w:szCs w:val="36"/>
          <w14:ligatures w14:val="none"/>
        </w:rPr>
      </w:pPr>
      <w:r w:rsidRPr="00E36B73">
        <w:rPr>
          <w:rFonts w:ascii="Default Font" w:eastAsia="Times New Roman" w:hAnsi="Default Font" w:cs="Times New Roman"/>
          <w:color w:val="000000" w:themeColor="text1"/>
          <w:kern w:val="0"/>
          <w:sz w:val="36"/>
          <w:szCs w:val="36"/>
          <w14:ligatures w14:val="none"/>
        </w:rPr>
        <w:t>(a) Set aside the impugned show cause notice no. ................. dated .................. passed by the learned Joint commissioner, State tax.</w:t>
      </w:r>
    </w:p>
    <w:p w14:paraId="5DB9DDEB" w14:textId="046AD6AA" w:rsidR="005237F3" w:rsidRPr="00E36B73" w:rsidRDefault="00E36B73" w:rsidP="00E36B73">
      <w:pPr>
        <w:rPr>
          <w:color w:val="000000" w:themeColor="text1"/>
        </w:rPr>
      </w:pPr>
      <w:r w:rsidRPr="00E36B73">
        <w:rPr>
          <w:rFonts w:ascii="Default Font" w:eastAsia="Times New Roman" w:hAnsi="Default Font" w:cs="Times New Roman"/>
          <w:color w:val="000000" w:themeColor="text1"/>
          <w:kern w:val="0"/>
          <w:sz w:val="36"/>
          <w:szCs w:val="36"/>
          <w14:ligatures w14:val="none"/>
        </w:rPr>
        <w:t>(b) Accept the refund application and allow the refund amount.</w:t>
      </w:r>
    </w:p>
    <w:sectPr w:rsidR="005237F3" w:rsidRPr="00E36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30A6F"/>
    <w:multiLevelType w:val="multilevel"/>
    <w:tmpl w:val="FF423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30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73"/>
    <w:rsid w:val="00031CAE"/>
    <w:rsid w:val="00447B58"/>
    <w:rsid w:val="005237F3"/>
    <w:rsid w:val="009C38D0"/>
    <w:rsid w:val="00E36B7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E286"/>
  <w15:chartTrackingRefBased/>
  <w15:docId w15:val="{91EEF639-D20B-41DC-85F3-A94BE5D5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B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B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B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B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B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B73"/>
    <w:rPr>
      <w:rFonts w:eastAsiaTheme="majorEastAsia" w:cstheme="majorBidi"/>
      <w:color w:val="272727" w:themeColor="text1" w:themeTint="D8"/>
    </w:rPr>
  </w:style>
  <w:style w:type="paragraph" w:styleId="Title">
    <w:name w:val="Title"/>
    <w:basedOn w:val="Normal"/>
    <w:next w:val="Normal"/>
    <w:link w:val="TitleChar"/>
    <w:uiPriority w:val="10"/>
    <w:qFormat/>
    <w:rsid w:val="00E36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B73"/>
    <w:pPr>
      <w:spacing w:before="160"/>
      <w:jc w:val="center"/>
    </w:pPr>
    <w:rPr>
      <w:i/>
      <w:iCs/>
      <w:color w:val="404040" w:themeColor="text1" w:themeTint="BF"/>
    </w:rPr>
  </w:style>
  <w:style w:type="character" w:customStyle="1" w:styleId="QuoteChar">
    <w:name w:val="Quote Char"/>
    <w:basedOn w:val="DefaultParagraphFont"/>
    <w:link w:val="Quote"/>
    <w:uiPriority w:val="29"/>
    <w:rsid w:val="00E36B73"/>
    <w:rPr>
      <w:i/>
      <w:iCs/>
      <w:color w:val="404040" w:themeColor="text1" w:themeTint="BF"/>
    </w:rPr>
  </w:style>
  <w:style w:type="paragraph" w:styleId="ListParagraph">
    <w:name w:val="List Paragraph"/>
    <w:basedOn w:val="Normal"/>
    <w:uiPriority w:val="34"/>
    <w:qFormat/>
    <w:rsid w:val="00E36B73"/>
    <w:pPr>
      <w:ind w:left="720"/>
      <w:contextualSpacing/>
    </w:pPr>
  </w:style>
  <w:style w:type="character" w:styleId="IntenseEmphasis">
    <w:name w:val="Intense Emphasis"/>
    <w:basedOn w:val="DefaultParagraphFont"/>
    <w:uiPriority w:val="21"/>
    <w:qFormat/>
    <w:rsid w:val="00E36B73"/>
    <w:rPr>
      <w:i/>
      <w:iCs/>
      <w:color w:val="2F5496" w:themeColor="accent1" w:themeShade="BF"/>
    </w:rPr>
  </w:style>
  <w:style w:type="paragraph" w:styleId="IntenseQuote">
    <w:name w:val="Intense Quote"/>
    <w:basedOn w:val="Normal"/>
    <w:next w:val="Normal"/>
    <w:link w:val="IntenseQuoteChar"/>
    <w:uiPriority w:val="30"/>
    <w:qFormat/>
    <w:rsid w:val="00E36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B73"/>
    <w:rPr>
      <w:i/>
      <w:iCs/>
      <w:color w:val="2F5496" w:themeColor="accent1" w:themeShade="BF"/>
    </w:rPr>
  </w:style>
  <w:style w:type="character" w:styleId="IntenseReference">
    <w:name w:val="Intense Reference"/>
    <w:basedOn w:val="DefaultParagraphFont"/>
    <w:uiPriority w:val="32"/>
    <w:qFormat/>
    <w:rsid w:val="00E36B73"/>
    <w:rPr>
      <w:b/>
      <w:bCs/>
      <w:smallCaps/>
      <w:color w:val="2F5496" w:themeColor="accent1" w:themeShade="BF"/>
      <w:spacing w:val="5"/>
    </w:rPr>
  </w:style>
  <w:style w:type="paragraph" w:styleId="NormalWeb">
    <w:name w:val="Normal (Web)"/>
    <w:basedOn w:val="Normal"/>
    <w:uiPriority w:val="99"/>
    <w:semiHidden/>
    <w:unhideWhenUsed/>
    <w:rsid w:val="00E36B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6B73"/>
    <w:rPr>
      <w:b/>
      <w:bCs/>
    </w:rPr>
  </w:style>
  <w:style w:type="character" w:styleId="Hyperlink">
    <w:name w:val="Hyperlink"/>
    <w:basedOn w:val="DefaultParagraphFont"/>
    <w:uiPriority w:val="99"/>
    <w:semiHidden/>
    <w:unhideWhenUsed/>
    <w:rsid w:val="00E36B73"/>
    <w:rPr>
      <w:color w:val="0000FF"/>
      <w:u w:val="single"/>
    </w:rPr>
  </w:style>
  <w:style w:type="character" w:styleId="Emphasis">
    <w:name w:val="Emphasis"/>
    <w:basedOn w:val="DefaultParagraphFont"/>
    <w:uiPriority w:val="20"/>
    <w:qFormat/>
    <w:rsid w:val="00E36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2025-10-31T05:21:00Z</dcterms:created>
  <dcterms:modified xsi:type="dcterms:W3CDTF">2025-10-31T05:25:00Z</dcterms:modified>
</cp:coreProperties>
</file>