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9C35C6" w:rsidRPr="009C35C6" w14:paraId="28984089" w14:textId="77777777">
        <w:trPr>
          <w:jc w:val="center"/>
        </w:trPr>
        <w:tc>
          <w:tcPr>
            <w:tcW w:w="0" w:type="auto"/>
            <w:shd w:val="clear" w:color="auto" w:fill="FFFFFF"/>
            <w:vAlign w:val="center"/>
            <w:hideMark/>
          </w:tcPr>
          <w:p w14:paraId="4824031D" w14:textId="77777777" w:rsidR="009C35C6" w:rsidRPr="009C35C6" w:rsidRDefault="009C35C6" w:rsidP="009C35C6"/>
        </w:tc>
      </w:tr>
      <w:tr w:rsidR="009C35C6" w:rsidRPr="009C35C6" w14:paraId="124D0D85" w14:textId="77777777">
        <w:trPr>
          <w:trHeight w:val="2535"/>
          <w:jc w:val="center"/>
        </w:trPr>
        <w:tc>
          <w:tcPr>
            <w:tcW w:w="0" w:type="auto"/>
            <w:shd w:val="clear" w:color="auto" w:fill="FFFFFF"/>
            <w:vAlign w:val="center"/>
            <w:hideMark/>
          </w:tcPr>
          <w:p w14:paraId="73F088CE" w14:textId="544A7A6B" w:rsidR="009C35C6" w:rsidRPr="009C35C6" w:rsidRDefault="00185847" w:rsidP="009C35C6">
            <w:r>
              <w:rPr>
                <w:b/>
                <w:bCs/>
              </w:rPr>
              <w:t xml:space="preserve">Dated: </w:t>
            </w:r>
          </w:p>
          <w:p w14:paraId="6DBD3A26" w14:textId="77777777" w:rsidR="009C35C6" w:rsidRPr="009C35C6" w:rsidRDefault="009C35C6" w:rsidP="009C35C6">
            <w:r w:rsidRPr="009C35C6">
              <w:rPr>
                <w:b/>
                <w:bCs/>
              </w:rPr>
              <w:t>To,</w:t>
            </w:r>
          </w:p>
          <w:p w14:paraId="0F6CB2A0" w14:textId="77777777" w:rsidR="009C35C6" w:rsidRPr="009C35C6" w:rsidRDefault="009C35C6" w:rsidP="009C35C6">
            <w:r w:rsidRPr="009C35C6">
              <w:t>The Proper Officer,</w:t>
            </w:r>
          </w:p>
          <w:p w14:paraId="580D707A" w14:textId="77777777" w:rsidR="009C35C6" w:rsidRPr="009C35C6" w:rsidRDefault="009C35C6" w:rsidP="009C35C6">
            <w:r w:rsidRPr="009C35C6">
              <w:t>[GST Department Name],</w:t>
            </w:r>
          </w:p>
          <w:p w14:paraId="16A0D5AF" w14:textId="77777777" w:rsidR="009C35C6" w:rsidRPr="009C35C6" w:rsidRDefault="009C35C6" w:rsidP="009C35C6">
            <w:r w:rsidRPr="009C35C6">
              <w:t>[Office Address],</w:t>
            </w:r>
          </w:p>
          <w:p w14:paraId="33325A7D" w14:textId="77777777" w:rsidR="009C35C6" w:rsidRPr="009C35C6" w:rsidRDefault="009C35C6" w:rsidP="009C35C6">
            <w:r w:rsidRPr="009C35C6">
              <w:t>[City, State].</w:t>
            </w:r>
          </w:p>
          <w:p w14:paraId="2DC644EE" w14:textId="77777777" w:rsidR="009C35C6" w:rsidRPr="009C35C6" w:rsidRDefault="009C35C6" w:rsidP="009C35C6">
            <w:r w:rsidRPr="009C35C6">
              <w:rPr>
                <w:b/>
                <w:bCs/>
              </w:rPr>
              <w:t>Subject:</w:t>
            </w:r>
            <w:r w:rsidRPr="009C35C6">
              <w:t> Request for Unblocking of ITC Wrongly Blocked Under Rule 86A – RCM Liability Not Paid and No ITC Availed</w:t>
            </w:r>
          </w:p>
          <w:p w14:paraId="2A4F17EF" w14:textId="77777777" w:rsidR="009C35C6" w:rsidRPr="009C35C6" w:rsidRDefault="009C35C6" w:rsidP="009C35C6">
            <w:r w:rsidRPr="009C35C6">
              <w:rPr>
                <w:b/>
                <w:bCs/>
              </w:rPr>
              <w:t>Respected Sir,</w:t>
            </w:r>
          </w:p>
          <w:p w14:paraId="3755EB84" w14:textId="225760A7" w:rsidR="009C35C6" w:rsidRPr="009C35C6" w:rsidRDefault="009C35C6" w:rsidP="009C35C6">
            <w:r w:rsidRPr="009C35C6">
              <w:t>This is with reference to the blocking of Input Tax Credit (ITC) in negative form in our electronic credit ledger under </w:t>
            </w:r>
            <w:r w:rsidRPr="009C35C6">
              <w:rPr>
                <w:b/>
                <w:bCs/>
              </w:rPr>
              <w:t>Rule 86A</w:t>
            </w:r>
            <w:r w:rsidRPr="009C35C6">
              <w:t> of the CGST Rules, 2017. We wish to bring to your kind attention that the blocking of ITC in negative is wholly without jurisdiction and contrary to legal provisions.</w:t>
            </w:r>
          </w:p>
          <w:p w14:paraId="7638E990" w14:textId="77777777" w:rsidR="009C35C6" w:rsidRPr="009C35C6" w:rsidRDefault="009C35C6" w:rsidP="009C35C6">
            <w:r w:rsidRPr="009C35C6">
              <w:rPr>
                <w:b/>
                <w:bCs/>
              </w:rPr>
              <w:t>1. Background of the Case</w:t>
            </w:r>
          </w:p>
          <w:p w14:paraId="00652583" w14:textId="77777777" w:rsidR="009C35C6" w:rsidRPr="009C35C6" w:rsidRDefault="009C35C6" w:rsidP="009C35C6">
            <w:pPr>
              <w:numPr>
                <w:ilvl w:val="0"/>
                <w:numId w:val="1"/>
              </w:numPr>
            </w:pPr>
            <w:r w:rsidRPr="009C35C6">
              <w:t>Our electronic credit ledger has been blocked in negative for an alleged non-payment of Reverse Charge Mechanism (RCM) liability.</w:t>
            </w:r>
          </w:p>
          <w:p w14:paraId="435CD128" w14:textId="77777777" w:rsidR="009C35C6" w:rsidRPr="009C35C6" w:rsidRDefault="009C35C6" w:rsidP="009C35C6">
            <w:pPr>
              <w:numPr>
                <w:ilvl w:val="0"/>
                <w:numId w:val="1"/>
              </w:numPr>
            </w:pPr>
            <w:r w:rsidRPr="009C35C6">
              <w:t>We have not availed any ITC on the RCM liability, as RCM tax is first required to be paid in cash and then claimed as ITC.</w:t>
            </w:r>
          </w:p>
          <w:p w14:paraId="5AD0B8B5" w14:textId="3FF2C527" w:rsidR="009C35C6" w:rsidRPr="009C35C6" w:rsidRDefault="009C35C6" w:rsidP="009C35C6">
            <w:pPr>
              <w:numPr>
                <w:ilvl w:val="0"/>
                <w:numId w:val="1"/>
              </w:numPr>
            </w:pPr>
            <w:r w:rsidRPr="009C35C6">
              <w:t>As per </w:t>
            </w:r>
            <w:r w:rsidRPr="009C35C6">
              <w:rPr>
                <w:b/>
                <w:bCs/>
              </w:rPr>
              <w:t>Rule 86A</w:t>
            </w:r>
            <w:r w:rsidRPr="009C35C6">
              <w:t> of the CGST Rules, 2017, ITC can only be blocked if it has been availed fraudulently or in contravention of the provisions of the CGST Act, 2017.</w:t>
            </w:r>
          </w:p>
          <w:p w14:paraId="144AE36E" w14:textId="77777777" w:rsidR="009C35C6" w:rsidRPr="009C35C6" w:rsidRDefault="009C35C6" w:rsidP="009C35C6">
            <w:pPr>
              <w:numPr>
                <w:ilvl w:val="0"/>
                <w:numId w:val="1"/>
              </w:numPr>
            </w:pPr>
            <w:r w:rsidRPr="009C35C6">
              <w:t>In our case, we have not availed ITC on unpaid RCM, and therefore, blocking ITC in negative form is illegal and without jurisdiction.</w:t>
            </w:r>
          </w:p>
          <w:p w14:paraId="1803A71D" w14:textId="77777777" w:rsidR="009C35C6" w:rsidRPr="009C35C6" w:rsidRDefault="009C35C6" w:rsidP="009C35C6">
            <w:r w:rsidRPr="009C35C6">
              <w:rPr>
                <w:b/>
                <w:bCs/>
              </w:rPr>
              <w:t>2. Legal Precedent –</w:t>
            </w:r>
          </w:p>
          <w:p w14:paraId="5F2EC732" w14:textId="3B9A3BFE" w:rsidR="009C35C6" w:rsidRPr="00185847" w:rsidRDefault="009C35C6" w:rsidP="009C35C6">
            <w:pPr>
              <w:rPr>
                <w:b/>
                <w:bCs/>
              </w:rPr>
            </w:pPr>
            <w:r w:rsidRPr="009C35C6">
              <w:t>The Hon’ble Gujarat High Court in the case of Samay Alloys India Pvt. Ltd. </w:t>
            </w:r>
            <w:r w:rsidR="00185847">
              <w:rPr>
                <w:b/>
                <w:bCs/>
              </w:rPr>
              <w:t xml:space="preserve">[2022] </w:t>
            </w:r>
            <w:r w:rsidRPr="009C35C6">
              <w:rPr>
                <w:b/>
                <w:bCs/>
              </w:rPr>
              <w:t xml:space="preserve"> (Gujarat)</w:t>
            </w:r>
            <w:r w:rsidRPr="009C35C6">
              <w:t> held that:</w:t>
            </w:r>
          </w:p>
          <w:p w14:paraId="209CA3D4" w14:textId="77777777" w:rsidR="009C35C6" w:rsidRPr="009C35C6" w:rsidRDefault="009C35C6" w:rsidP="009C35C6">
            <w:r w:rsidRPr="009C35C6">
              <w:t>"If no input tax credit was available in the ledger, the blocking of electronic credit ledger under Rule 86-A of the Rules and insertion of negative balance in the ledger would be wholly without jurisdiction and illegal. There is no power of negative block for credit to be availed in future. The respondents are directed to withdraw the negative block of the electronic credit ledger at the earliest."</w:t>
            </w:r>
          </w:p>
          <w:p w14:paraId="3445CD9D" w14:textId="3A71F984" w:rsidR="009C35C6" w:rsidRPr="009C35C6" w:rsidRDefault="009C35C6" w:rsidP="009C35C6">
            <w:proofErr w:type="spellStart"/>
            <w:r w:rsidRPr="009C35C6">
              <w:t>Delhit</w:t>
            </w:r>
            <w:proofErr w:type="spellEnd"/>
            <w:r w:rsidRPr="009C35C6">
              <w:t xml:space="preserve"> High Court Judgment in Kings Security Guard Services (P.) Ltd </w:t>
            </w:r>
            <w:r w:rsidRPr="009C35C6">
              <w:rPr>
                <w:b/>
                <w:bCs/>
              </w:rPr>
              <w:t>[2024</w:t>
            </w:r>
            <w:r w:rsidR="00185847">
              <w:rPr>
                <w:b/>
                <w:bCs/>
              </w:rPr>
              <w:t>]</w:t>
            </w:r>
            <w:r w:rsidRPr="009C35C6">
              <w:rPr>
                <w:b/>
                <w:bCs/>
              </w:rPr>
              <w:t xml:space="preserve"> (Delhi)</w:t>
            </w:r>
            <w:r w:rsidRPr="009C35C6">
              <w:t> held that:</w:t>
            </w:r>
          </w:p>
          <w:p w14:paraId="74EDD274" w14:textId="5A1ADBE4" w:rsidR="009C35C6" w:rsidRPr="009C35C6" w:rsidRDefault="009C35C6" w:rsidP="009C35C6">
            <w:r w:rsidRPr="009C35C6">
              <w:t>"Negative blocking of ECL under </w:t>
            </w:r>
            <w:r w:rsidRPr="009C35C6">
              <w:rPr>
                <w:b/>
                <w:bCs/>
              </w:rPr>
              <w:t>Rule 86A</w:t>
            </w:r>
            <w:r w:rsidRPr="009C35C6">
              <w:t xml:space="preserve"> is quashed as unsustainable, reaffirming the limited and </w:t>
            </w:r>
            <w:bookmarkStart w:id="0" w:name="_GoBack"/>
            <w:bookmarkEnd w:id="0"/>
            <w:r w:rsidRPr="009C35C6">
              <w:lastRenderedPageBreak/>
              <w:t>temporary scope of the rule</w:t>
            </w:r>
            <w:proofErr w:type="gramStart"/>
            <w:r w:rsidRPr="009C35C6">
              <w:t>.."</w:t>
            </w:r>
            <w:proofErr w:type="gramEnd"/>
          </w:p>
          <w:p w14:paraId="62AFA4D9" w14:textId="77777777" w:rsidR="009C35C6" w:rsidRPr="009C35C6" w:rsidRDefault="009C35C6" w:rsidP="009C35C6">
            <w:pPr>
              <w:numPr>
                <w:ilvl w:val="0"/>
                <w:numId w:val="2"/>
              </w:numPr>
            </w:pPr>
            <w:r w:rsidRPr="009C35C6">
              <w:t>The above rulings clearly establishes that the department cannot block ITC in negative for future credit that is yet to be availed.</w:t>
            </w:r>
          </w:p>
          <w:p w14:paraId="07540AA7" w14:textId="61C1866B" w:rsidR="009C35C6" w:rsidRPr="009C35C6" w:rsidRDefault="009C35C6" w:rsidP="009C35C6">
            <w:r w:rsidRPr="009C35C6">
              <w:rPr>
                <w:b/>
                <w:bCs/>
              </w:rPr>
              <w:t>3. Legal Position Under Rule 86A</w:t>
            </w:r>
          </w:p>
          <w:p w14:paraId="3E2958C6" w14:textId="063993C8" w:rsidR="009C35C6" w:rsidRPr="009C35C6" w:rsidRDefault="009C35C6" w:rsidP="009C35C6">
            <w:pPr>
              <w:numPr>
                <w:ilvl w:val="0"/>
                <w:numId w:val="3"/>
              </w:numPr>
            </w:pPr>
            <w:r w:rsidRPr="009C35C6">
              <w:rPr>
                <w:b/>
                <w:bCs/>
              </w:rPr>
              <w:t>Rule 86A</w:t>
            </w:r>
            <w:r w:rsidRPr="009C35C6">
              <w:t> allows blocking of ITC only if:</w:t>
            </w:r>
          </w:p>
          <w:p w14:paraId="533F6EEF" w14:textId="77777777" w:rsidR="009C35C6" w:rsidRPr="009C35C6" w:rsidRDefault="009C35C6" w:rsidP="009C35C6">
            <w:pPr>
              <w:numPr>
                <w:ilvl w:val="1"/>
                <w:numId w:val="3"/>
              </w:numPr>
            </w:pPr>
            <w:r w:rsidRPr="009C35C6">
              <w:t>ITC was availed fraudulently, or</w:t>
            </w:r>
          </w:p>
          <w:p w14:paraId="438F99D8" w14:textId="5ABD2DA4" w:rsidR="009C35C6" w:rsidRPr="009C35C6" w:rsidRDefault="009C35C6" w:rsidP="009C35C6">
            <w:pPr>
              <w:numPr>
                <w:ilvl w:val="1"/>
                <w:numId w:val="3"/>
              </w:numPr>
            </w:pPr>
            <w:r w:rsidRPr="009C35C6">
              <w:t>ITC was availed in contravention of </w:t>
            </w:r>
            <w:r w:rsidRPr="009C35C6">
              <w:rPr>
                <w:b/>
                <w:bCs/>
              </w:rPr>
              <w:t>Section 16</w:t>
            </w:r>
            <w:r w:rsidRPr="009C35C6">
              <w:t> of the CGST Act, 2017.</w:t>
            </w:r>
          </w:p>
          <w:p w14:paraId="770DD732" w14:textId="77777777" w:rsidR="009C35C6" w:rsidRPr="009C35C6" w:rsidRDefault="009C35C6" w:rsidP="009C35C6">
            <w:pPr>
              <w:numPr>
                <w:ilvl w:val="0"/>
                <w:numId w:val="3"/>
              </w:numPr>
            </w:pPr>
            <w:r w:rsidRPr="009C35C6">
              <w:t>Since we have not availed ITC on unpaid RCM, the blocking of ITC in negative is contrary to the law.</w:t>
            </w:r>
          </w:p>
          <w:p w14:paraId="6905904C" w14:textId="77777777" w:rsidR="009C35C6" w:rsidRPr="009C35C6" w:rsidRDefault="009C35C6" w:rsidP="009C35C6">
            <w:r w:rsidRPr="009C35C6">
              <w:rPr>
                <w:b/>
                <w:bCs/>
              </w:rPr>
              <w:t>4. Request for Immediate Unblocking of ITC</w:t>
            </w:r>
          </w:p>
          <w:p w14:paraId="157DAC9F" w14:textId="77777777" w:rsidR="009C35C6" w:rsidRPr="009C35C6" w:rsidRDefault="009C35C6" w:rsidP="009C35C6">
            <w:r w:rsidRPr="009C35C6">
              <w:t>In light of the above facts and legal precedents, we respectfully request your good office to:</w:t>
            </w:r>
          </w:p>
          <w:p w14:paraId="115410A7" w14:textId="77777777" w:rsidR="009C35C6" w:rsidRPr="009C35C6" w:rsidRDefault="009C35C6" w:rsidP="009C35C6">
            <w:pPr>
              <w:numPr>
                <w:ilvl w:val="0"/>
                <w:numId w:val="4"/>
              </w:numPr>
            </w:pPr>
            <w:r w:rsidRPr="009C35C6">
              <w:t>Withdraw the negative block imposed on our electronic credit ledger immediately, as it has been done without jurisdiction.</w:t>
            </w:r>
          </w:p>
          <w:p w14:paraId="610F95AE" w14:textId="1900C7AC" w:rsidR="009C35C6" w:rsidRPr="009C35C6" w:rsidRDefault="009C35C6" w:rsidP="009C35C6">
            <w:pPr>
              <w:numPr>
                <w:ilvl w:val="0"/>
                <w:numId w:val="4"/>
              </w:numPr>
            </w:pPr>
            <w:r w:rsidRPr="009C35C6">
              <w:t>Ensure that future ITC is not blocked in negative, as such action is not permissible under </w:t>
            </w:r>
            <w:r w:rsidRPr="009C35C6">
              <w:rPr>
                <w:b/>
                <w:bCs/>
              </w:rPr>
              <w:t>Rule 86A</w:t>
            </w:r>
            <w:r w:rsidRPr="009C35C6">
              <w:t>.</w:t>
            </w:r>
          </w:p>
          <w:p w14:paraId="2DEE2B33" w14:textId="77777777" w:rsidR="009C35C6" w:rsidRPr="009C35C6" w:rsidRDefault="009C35C6" w:rsidP="009C35C6">
            <w:pPr>
              <w:numPr>
                <w:ilvl w:val="0"/>
                <w:numId w:val="4"/>
              </w:numPr>
            </w:pPr>
            <w:r w:rsidRPr="009C35C6">
              <w:t>Confirm the unblocking of ITC at the earliest and provide us with a formal intimation of the same.</w:t>
            </w:r>
          </w:p>
          <w:p w14:paraId="24FC0817" w14:textId="77777777" w:rsidR="009C35C6" w:rsidRPr="009C35C6" w:rsidRDefault="009C35C6" w:rsidP="009C35C6">
            <w:r w:rsidRPr="009C35C6">
              <w:t>We are committed to full compliance with GST laws and are available for any further clarification or hearing, if required.</w:t>
            </w:r>
          </w:p>
          <w:p w14:paraId="73CF158C" w14:textId="77777777" w:rsidR="009C35C6" w:rsidRPr="009C35C6" w:rsidRDefault="009C35C6" w:rsidP="009C35C6">
            <w:r w:rsidRPr="009C35C6">
              <w:t>Thanking You.</w:t>
            </w:r>
          </w:p>
          <w:p w14:paraId="6A7A88BA" w14:textId="77777777" w:rsidR="009C35C6" w:rsidRPr="009C35C6" w:rsidRDefault="009C35C6" w:rsidP="009C35C6">
            <w:r w:rsidRPr="009C35C6">
              <w:rPr>
                <w:b/>
                <w:bCs/>
              </w:rPr>
              <w:t>Yours sincerely,</w:t>
            </w:r>
          </w:p>
          <w:p w14:paraId="79DC44EC" w14:textId="77777777" w:rsidR="009C35C6" w:rsidRPr="009C35C6" w:rsidRDefault="009C35C6" w:rsidP="009C35C6">
            <w:r w:rsidRPr="009C35C6">
              <w:t>[Your Name]</w:t>
            </w:r>
          </w:p>
        </w:tc>
      </w:tr>
    </w:tbl>
    <w:p w14:paraId="554DABD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3823"/>
    <w:multiLevelType w:val="multilevel"/>
    <w:tmpl w:val="9D1EF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C377DB"/>
    <w:multiLevelType w:val="multilevel"/>
    <w:tmpl w:val="E3B09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7501CD"/>
    <w:multiLevelType w:val="multilevel"/>
    <w:tmpl w:val="69B0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8B4189"/>
    <w:multiLevelType w:val="multilevel"/>
    <w:tmpl w:val="E712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5C6"/>
    <w:rsid w:val="00031CAE"/>
    <w:rsid w:val="00107EFB"/>
    <w:rsid w:val="00185847"/>
    <w:rsid w:val="00447B58"/>
    <w:rsid w:val="005237F3"/>
    <w:rsid w:val="009C35C6"/>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3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5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5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5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5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5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5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5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5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5C6"/>
    <w:rPr>
      <w:rFonts w:eastAsiaTheme="majorEastAsia" w:cstheme="majorBidi"/>
      <w:color w:val="272727" w:themeColor="text1" w:themeTint="D8"/>
    </w:rPr>
  </w:style>
  <w:style w:type="paragraph" w:styleId="Title">
    <w:name w:val="Title"/>
    <w:basedOn w:val="Normal"/>
    <w:next w:val="Normal"/>
    <w:link w:val="TitleChar"/>
    <w:uiPriority w:val="10"/>
    <w:qFormat/>
    <w:rsid w:val="009C3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5C6"/>
    <w:pPr>
      <w:spacing w:before="160"/>
      <w:jc w:val="center"/>
    </w:pPr>
    <w:rPr>
      <w:i/>
      <w:iCs/>
      <w:color w:val="404040" w:themeColor="text1" w:themeTint="BF"/>
    </w:rPr>
  </w:style>
  <w:style w:type="character" w:customStyle="1" w:styleId="QuoteChar">
    <w:name w:val="Quote Char"/>
    <w:basedOn w:val="DefaultParagraphFont"/>
    <w:link w:val="Quote"/>
    <w:uiPriority w:val="29"/>
    <w:rsid w:val="009C35C6"/>
    <w:rPr>
      <w:i/>
      <w:iCs/>
      <w:color w:val="404040" w:themeColor="text1" w:themeTint="BF"/>
    </w:rPr>
  </w:style>
  <w:style w:type="paragraph" w:styleId="ListParagraph">
    <w:name w:val="List Paragraph"/>
    <w:basedOn w:val="Normal"/>
    <w:uiPriority w:val="34"/>
    <w:qFormat/>
    <w:rsid w:val="009C35C6"/>
    <w:pPr>
      <w:ind w:left="720"/>
      <w:contextualSpacing/>
    </w:pPr>
  </w:style>
  <w:style w:type="character" w:styleId="IntenseEmphasis">
    <w:name w:val="Intense Emphasis"/>
    <w:basedOn w:val="DefaultParagraphFont"/>
    <w:uiPriority w:val="21"/>
    <w:qFormat/>
    <w:rsid w:val="009C35C6"/>
    <w:rPr>
      <w:i/>
      <w:iCs/>
      <w:color w:val="2F5496" w:themeColor="accent1" w:themeShade="BF"/>
    </w:rPr>
  </w:style>
  <w:style w:type="paragraph" w:styleId="IntenseQuote">
    <w:name w:val="Intense Quote"/>
    <w:basedOn w:val="Normal"/>
    <w:next w:val="Normal"/>
    <w:link w:val="IntenseQuoteChar"/>
    <w:uiPriority w:val="30"/>
    <w:qFormat/>
    <w:rsid w:val="009C3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5C6"/>
    <w:rPr>
      <w:i/>
      <w:iCs/>
      <w:color w:val="2F5496" w:themeColor="accent1" w:themeShade="BF"/>
    </w:rPr>
  </w:style>
  <w:style w:type="character" w:styleId="IntenseReference">
    <w:name w:val="Intense Reference"/>
    <w:basedOn w:val="DefaultParagraphFont"/>
    <w:uiPriority w:val="32"/>
    <w:qFormat/>
    <w:rsid w:val="009C35C6"/>
    <w:rPr>
      <w:b/>
      <w:bCs/>
      <w:smallCaps/>
      <w:color w:val="2F5496" w:themeColor="accent1" w:themeShade="BF"/>
      <w:spacing w:val="5"/>
    </w:rPr>
  </w:style>
  <w:style w:type="character" w:styleId="Hyperlink">
    <w:name w:val="Hyperlink"/>
    <w:basedOn w:val="DefaultParagraphFont"/>
    <w:uiPriority w:val="99"/>
    <w:unhideWhenUsed/>
    <w:rsid w:val="009C35C6"/>
    <w:rPr>
      <w:color w:val="0563C1" w:themeColor="hyperlink"/>
      <w:u w:val="single"/>
    </w:rPr>
  </w:style>
  <w:style w:type="character" w:customStyle="1" w:styleId="UnresolvedMention">
    <w:name w:val="Unresolved Mention"/>
    <w:basedOn w:val="DefaultParagraphFont"/>
    <w:uiPriority w:val="99"/>
    <w:semiHidden/>
    <w:unhideWhenUsed/>
    <w:rsid w:val="009C35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3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5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5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5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5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5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5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5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5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5C6"/>
    <w:rPr>
      <w:rFonts w:eastAsiaTheme="majorEastAsia" w:cstheme="majorBidi"/>
      <w:color w:val="272727" w:themeColor="text1" w:themeTint="D8"/>
    </w:rPr>
  </w:style>
  <w:style w:type="paragraph" w:styleId="Title">
    <w:name w:val="Title"/>
    <w:basedOn w:val="Normal"/>
    <w:next w:val="Normal"/>
    <w:link w:val="TitleChar"/>
    <w:uiPriority w:val="10"/>
    <w:qFormat/>
    <w:rsid w:val="009C3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5C6"/>
    <w:pPr>
      <w:spacing w:before="160"/>
      <w:jc w:val="center"/>
    </w:pPr>
    <w:rPr>
      <w:i/>
      <w:iCs/>
      <w:color w:val="404040" w:themeColor="text1" w:themeTint="BF"/>
    </w:rPr>
  </w:style>
  <w:style w:type="character" w:customStyle="1" w:styleId="QuoteChar">
    <w:name w:val="Quote Char"/>
    <w:basedOn w:val="DefaultParagraphFont"/>
    <w:link w:val="Quote"/>
    <w:uiPriority w:val="29"/>
    <w:rsid w:val="009C35C6"/>
    <w:rPr>
      <w:i/>
      <w:iCs/>
      <w:color w:val="404040" w:themeColor="text1" w:themeTint="BF"/>
    </w:rPr>
  </w:style>
  <w:style w:type="paragraph" w:styleId="ListParagraph">
    <w:name w:val="List Paragraph"/>
    <w:basedOn w:val="Normal"/>
    <w:uiPriority w:val="34"/>
    <w:qFormat/>
    <w:rsid w:val="009C35C6"/>
    <w:pPr>
      <w:ind w:left="720"/>
      <w:contextualSpacing/>
    </w:pPr>
  </w:style>
  <w:style w:type="character" w:styleId="IntenseEmphasis">
    <w:name w:val="Intense Emphasis"/>
    <w:basedOn w:val="DefaultParagraphFont"/>
    <w:uiPriority w:val="21"/>
    <w:qFormat/>
    <w:rsid w:val="009C35C6"/>
    <w:rPr>
      <w:i/>
      <w:iCs/>
      <w:color w:val="2F5496" w:themeColor="accent1" w:themeShade="BF"/>
    </w:rPr>
  </w:style>
  <w:style w:type="paragraph" w:styleId="IntenseQuote">
    <w:name w:val="Intense Quote"/>
    <w:basedOn w:val="Normal"/>
    <w:next w:val="Normal"/>
    <w:link w:val="IntenseQuoteChar"/>
    <w:uiPriority w:val="30"/>
    <w:qFormat/>
    <w:rsid w:val="009C3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5C6"/>
    <w:rPr>
      <w:i/>
      <w:iCs/>
      <w:color w:val="2F5496" w:themeColor="accent1" w:themeShade="BF"/>
    </w:rPr>
  </w:style>
  <w:style w:type="character" w:styleId="IntenseReference">
    <w:name w:val="Intense Reference"/>
    <w:basedOn w:val="DefaultParagraphFont"/>
    <w:uiPriority w:val="32"/>
    <w:qFormat/>
    <w:rsid w:val="009C35C6"/>
    <w:rPr>
      <w:b/>
      <w:bCs/>
      <w:smallCaps/>
      <w:color w:val="2F5496" w:themeColor="accent1" w:themeShade="BF"/>
      <w:spacing w:val="5"/>
    </w:rPr>
  </w:style>
  <w:style w:type="character" w:styleId="Hyperlink">
    <w:name w:val="Hyperlink"/>
    <w:basedOn w:val="DefaultParagraphFont"/>
    <w:uiPriority w:val="99"/>
    <w:unhideWhenUsed/>
    <w:rsid w:val="009C35C6"/>
    <w:rPr>
      <w:color w:val="0563C1" w:themeColor="hyperlink"/>
      <w:u w:val="single"/>
    </w:rPr>
  </w:style>
  <w:style w:type="character" w:customStyle="1" w:styleId="UnresolvedMention">
    <w:name w:val="Unresolved Mention"/>
    <w:basedOn w:val="DefaultParagraphFont"/>
    <w:uiPriority w:val="99"/>
    <w:semiHidden/>
    <w:unhideWhenUsed/>
    <w:rsid w:val="009C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2025-10-24T07:01:00Z</dcterms:created>
  <dcterms:modified xsi:type="dcterms:W3CDTF">2025-11-01T10:30:00Z</dcterms:modified>
</cp:coreProperties>
</file>