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3C54" w14:textId="77777777" w:rsidR="00A5356F" w:rsidRPr="00A5356F" w:rsidRDefault="00A5356F" w:rsidP="00A5356F">
      <w:r w:rsidRPr="00A5356F">
        <w:rPr>
          <w:b/>
          <w:bCs/>
        </w:rPr>
        <w:t>Reply against detention order passed under section 129 on account of Bill to Ship model of E-waybill</w:t>
      </w:r>
    </w:p>
    <w:p w14:paraId="21571F8C" w14:textId="77777777" w:rsidR="00A5356F" w:rsidRPr="00A5356F" w:rsidRDefault="00A5356F" w:rsidP="00A5356F">
      <w:r w:rsidRPr="00A5356F">
        <w:rPr>
          <w:b/>
          <w:bCs/>
        </w:rPr>
        <w:t>Date………………</w:t>
      </w:r>
    </w:p>
    <w:p w14:paraId="26620275" w14:textId="77777777" w:rsidR="00A5356F" w:rsidRPr="00A5356F" w:rsidRDefault="00A5356F" w:rsidP="00A5356F">
      <w:r w:rsidRPr="00A5356F">
        <w:rPr>
          <w:b/>
          <w:bCs/>
        </w:rPr>
        <w:t>To</w:t>
      </w:r>
    </w:p>
    <w:p w14:paraId="1905145E" w14:textId="77777777" w:rsidR="00A5356F" w:rsidRPr="00A5356F" w:rsidRDefault="00A5356F" w:rsidP="00A5356F">
      <w:r w:rsidRPr="00A5356F">
        <w:rPr>
          <w:b/>
          <w:bCs/>
        </w:rPr>
        <w:t>……………………….</w:t>
      </w:r>
    </w:p>
    <w:p w14:paraId="72EB0B69" w14:textId="77777777" w:rsidR="00A5356F" w:rsidRPr="00A5356F" w:rsidRDefault="00A5356F" w:rsidP="00A5356F">
      <w:r w:rsidRPr="00A5356F">
        <w:rPr>
          <w:b/>
          <w:bCs/>
        </w:rPr>
        <w:t>……………………….</w:t>
      </w:r>
    </w:p>
    <w:p w14:paraId="3E21B89D" w14:textId="77777777" w:rsidR="00A5356F" w:rsidRPr="00A5356F" w:rsidRDefault="00A5356F" w:rsidP="00A5356F">
      <w:r w:rsidRPr="00A5356F">
        <w:rPr>
          <w:b/>
          <w:bCs/>
        </w:rPr>
        <w:t> </w:t>
      </w:r>
    </w:p>
    <w:p w14:paraId="2EB42BD7" w14:textId="77777777" w:rsidR="00A5356F" w:rsidRPr="00A5356F" w:rsidRDefault="00A5356F" w:rsidP="00A5356F">
      <w:r w:rsidRPr="00A5356F">
        <w:rPr>
          <w:b/>
          <w:bCs/>
        </w:rPr>
        <w:t>Sub— </w:t>
      </w:r>
      <w:r w:rsidRPr="00A5356F">
        <w:t>Reply against detention order passed under section 129 on account of Bill to Ship model of E-waybill</w:t>
      </w:r>
    </w:p>
    <w:p w14:paraId="5102918C" w14:textId="77777777" w:rsidR="00A5356F" w:rsidRPr="00A5356F" w:rsidRDefault="00A5356F" w:rsidP="00A5356F">
      <w:r w:rsidRPr="00A5356F">
        <w:t>Respected Sir/Ma’am,</w:t>
      </w:r>
    </w:p>
    <w:p w14:paraId="6A969BC5" w14:textId="23EC1FAC" w:rsidR="00A5356F" w:rsidRPr="00A5356F" w:rsidRDefault="00A5356F" w:rsidP="00A5356F">
      <w:r w:rsidRPr="00A5356F">
        <w:t>We ……………………</w:t>
      </w:r>
      <w:proofErr w:type="gramStart"/>
      <w:r w:rsidRPr="00A5356F">
        <w:t>... ,</w:t>
      </w:r>
      <w:proofErr w:type="gramEnd"/>
      <w:r w:rsidRPr="00A5356F">
        <w:t xml:space="preserve"> holding GSTIN- .......................... are in receipt of a demand order issued under </w:t>
      </w:r>
      <w:r w:rsidRPr="00A5356F">
        <w:rPr>
          <w:b/>
          <w:bCs/>
        </w:rPr>
        <w:t>section 129(3)</w:t>
      </w:r>
      <w:r w:rsidRPr="00A5356F">
        <w:t xml:space="preserve"> of the CGST/SGST Act. In reference to the above subject matter, your </w:t>
      </w:r>
      <w:proofErr w:type="spellStart"/>
      <w:r w:rsidRPr="00A5356F">
        <w:t>goodself</w:t>
      </w:r>
      <w:proofErr w:type="spellEnd"/>
      <w:r w:rsidRPr="00A5356F">
        <w:t xml:space="preserve"> has alleged that E-way bill generated by us is not valid for movement of goods as the location of purchaser and location where goods is required to be delivered is different and on account of it there was a possibility of evasion of payment.</w:t>
      </w:r>
    </w:p>
    <w:p w14:paraId="2EE2D4B2" w14:textId="77777777" w:rsidR="00A5356F" w:rsidRPr="00A5356F" w:rsidRDefault="00A5356F" w:rsidP="00A5356F">
      <w:r w:rsidRPr="00A5356F">
        <w:t>The transaction in question involved a sale from the vendor in (location of seller), to the purchaser in (location of purchaser), and pursuant to the instructions received from the purchaser, the goods were consigned to a destination in (location of destination of goods).</w:t>
      </w:r>
    </w:p>
    <w:p w14:paraId="4F067B5E" w14:textId="77777777" w:rsidR="00A5356F" w:rsidRPr="00A5356F" w:rsidRDefault="00A5356F" w:rsidP="00A5356F">
      <w:r w:rsidRPr="00A5356F">
        <w:rPr>
          <w:b/>
          <w:bCs/>
        </w:rPr>
        <w:t>In this regard, we submit our reply as follows –</w:t>
      </w:r>
    </w:p>
    <w:p w14:paraId="46B7A2A9" w14:textId="77777777" w:rsidR="00A5356F" w:rsidRPr="00A5356F" w:rsidRDefault="00A5356F" w:rsidP="00A5356F">
      <w:r w:rsidRPr="00A5356F">
        <w:t xml:space="preserve">The brief facts of the case </w:t>
      </w:r>
      <w:proofErr w:type="gramStart"/>
      <w:r w:rsidRPr="00A5356F">
        <w:t>is</w:t>
      </w:r>
      <w:proofErr w:type="gramEnd"/>
      <w:r w:rsidRPr="00A5356F">
        <w:t xml:space="preserve"> that </w:t>
      </w:r>
      <w:proofErr w:type="gramStart"/>
      <w:r w:rsidRPr="00A5356F">
        <w:t>In</w:t>
      </w:r>
      <w:proofErr w:type="gramEnd"/>
      <w:r w:rsidRPr="00A5356F">
        <w:t xml:space="preserve"> the normal course of business, we have received order for supply of …………</w:t>
      </w:r>
      <w:proofErr w:type="gramStart"/>
      <w:r w:rsidRPr="00A5356F">
        <w:t>…..</w:t>
      </w:r>
      <w:proofErr w:type="gramEnd"/>
      <w:r w:rsidRPr="00A5356F">
        <w:t xml:space="preserve">(name of product) from (name of buyer) and prepared the Tax invoice. </w:t>
      </w:r>
      <w:proofErr w:type="gramStart"/>
      <w:r w:rsidRPr="00A5356F">
        <w:t>However</w:t>
      </w:r>
      <w:proofErr w:type="gramEnd"/>
      <w:r w:rsidRPr="00A5356F">
        <w:t xml:space="preserve"> in few cases, buyers </w:t>
      </w:r>
      <w:proofErr w:type="gramStart"/>
      <w:r w:rsidRPr="00A5356F">
        <w:t>instructs</w:t>
      </w:r>
      <w:proofErr w:type="gramEnd"/>
      <w:r w:rsidRPr="00A5356F">
        <w:t xml:space="preserve"> us to deliver the goods to some other person’s business place instead of taking delivery by himself. In this case also we have received an order from (name of buyer) to deliver the goods at some other place instead of (place of business of buyer).</w:t>
      </w:r>
    </w:p>
    <w:p w14:paraId="0DE7FB40" w14:textId="77777777" w:rsidR="00A5356F" w:rsidRPr="00A5356F" w:rsidRDefault="00A5356F" w:rsidP="00A5356F">
      <w:r w:rsidRPr="00A5356F">
        <w:t xml:space="preserve">We submit that the tax invoice issued in this regard, under the Central Goods and Service Tax Act and Rules, clearly indicated that the sale was from the vendor in (location of vendor) to the purchaser in (location of purchaser) and the delivery was to be </w:t>
      </w:r>
      <w:proofErr w:type="gramStart"/>
      <w:r w:rsidRPr="00A5356F">
        <w:t>effected</w:t>
      </w:r>
      <w:proofErr w:type="gramEnd"/>
      <w:r w:rsidRPr="00A5356F">
        <w:t xml:space="preserve"> at (actual destination where goods are required to be delivered as instructed by purchaser)</w:t>
      </w:r>
    </w:p>
    <w:p w14:paraId="179E6F2A" w14:textId="77777777" w:rsidR="00A5356F" w:rsidRPr="00A5356F" w:rsidRDefault="00A5356F" w:rsidP="00A5356F">
      <w:r w:rsidRPr="00A5356F">
        <w:t>The E-way bill that was prepared for covering the transportation also indicated the same details. Nevertheless, the goods were detained by the respondent on the ground that there was a possibility of evasion of payment of tax.</w:t>
      </w:r>
    </w:p>
    <w:p w14:paraId="341B587A" w14:textId="77777777" w:rsidR="00A5356F" w:rsidRPr="00A5356F" w:rsidRDefault="00A5356F" w:rsidP="00A5356F">
      <w:r w:rsidRPr="00A5356F">
        <w:lastRenderedPageBreak/>
        <w:t>We submit that the E-way bill clearly covered the transaction from (location of vendor) to (location as instructed by the buyer where goods are required to be delivered), and the invoice that covered the transaction was a `Bill to/ship to` model, which was permissible under the CGST/SGST Act and Rules.</w:t>
      </w:r>
    </w:p>
    <w:p w14:paraId="181E1F55" w14:textId="77777777" w:rsidR="00A5356F" w:rsidRPr="00A5356F" w:rsidRDefault="00A5356F" w:rsidP="00A5356F">
      <w:r w:rsidRPr="00A5356F">
        <w:rPr>
          <w:b/>
          <w:bCs/>
        </w:rPr>
        <w:t xml:space="preserve">One of the </w:t>
      </w:r>
      <w:proofErr w:type="spellStart"/>
      <w:r w:rsidRPr="00A5356F">
        <w:rPr>
          <w:b/>
          <w:bCs/>
        </w:rPr>
        <w:t>faqs</w:t>
      </w:r>
      <w:proofErr w:type="spellEnd"/>
      <w:r w:rsidRPr="00A5356F">
        <w:rPr>
          <w:b/>
          <w:bCs/>
        </w:rPr>
        <w:t xml:space="preserve"> issued by CBIC on the issue of Bill to Ship to model is as follows-</w:t>
      </w:r>
    </w:p>
    <w:p w14:paraId="56A4BFA4" w14:textId="77777777" w:rsidR="00A5356F" w:rsidRPr="00A5356F" w:rsidRDefault="00A5356F" w:rsidP="00A5356F">
      <w:r w:rsidRPr="00A5356F">
        <w:t>Question - How to Handle “Bill to” - “Ship to” Invoice in E-Way Bill System?</w:t>
      </w:r>
    </w:p>
    <w:p w14:paraId="0958E686" w14:textId="77777777" w:rsidR="00A5356F" w:rsidRPr="00A5356F" w:rsidRDefault="00A5356F" w:rsidP="00A5356F">
      <w:r w:rsidRPr="00A5356F">
        <w:t xml:space="preserve">Answer- Sometimes, the tax payer raises the bill to somebody and sends the consignment to somebody else as per the business requirements. There is a provision in the e-way bill system to handle this situation in the "Transaction Type". Select the Bill to - Ship to option in Transaction Type dropdown, then system will enable the "Ship to" field for entering different state </w:t>
      </w:r>
      <w:proofErr w:type="spellStart"/>
      <w:r w:rsidRPr="00A5356F">
        <w:t>pincode</w:t>
      </w:r>
      <w:proofErr w:type="spellEnd"/>
      <w:r w:rsidRPr="00A5356F">
        <w:t xml:space="preserve"> for the Consignment. </w:t>
      </w:r>
    </w:p>
    <w:p w14:paraId="32906465" w14:textId="77777777" w:rsidR="00A5356F" w:rsidRPr="00A5356F" w:rsidRDefault="00A5356F" w:rsidP="00A5356F">
      <w:r w:rsidRPr="00A5356F">
        <w:t xml:space="preserve">Press release dated 23.04.2018 also clarified issues regarding “Bill </w:t>
      </w:r>
      <w:proofErr w:type="gramStart"/>
      <w:r w:rsidRPr="00A5356F">
        <w:t>To</w:t>
      </w:r>
      <w:proofErr w:type="gramEnd"/>
      <w:r w:rsidRPr="00A5356F">
        <w:t xml:space="preserve"> Ship To” for e-Way Bill under CGST Rules, 2017.</w:t>
      </w:r>
    </w:p>
    <w:p w14:paraId="686835A1" w14:textId="77777777" w:rsidR="00A5356F" w:rsidRPr="00A5356F" w:rsidRDefault="00A5356F" w:rsidP="00A5356F">
      <w:r w:rsidRPr="00A5356F">
        <w:rPr>
          <w:b/>
          <w:bCs/>
        </w:rPr>
        <w:t>We also rely on following decisions</w:t>
      </w:r>
    </w:p>
    <w:p w14:paraId="00DE5183" w14:textId="59B457CB" w:rsidR="00A5356F" w:rsidRPr="00A5356F" w:rsidRDefault="00A5356F" w:rsidP="00A5356F">
      <w:r w:rsidRPr="00A5356F">
        <w:rPr>
          <w:b/>
          <w:bCs/>
        </w:rPr>
        <w:t xml:space="preserve">1) In case of </w:t>
      </w:r>
      <w:proofErr w:type="spellStart"/>
      <w:r w:rsidRPr="00A5356F">
        <w:rPr>
          <w:b/>
          <w:bCs/>
        </w:rPr>
        <w:t>Polycab</w:t>
      </w:r>
      <w:proofErr w:type="spellEnd"/>
      <w:r w:rsidRPr="00A5356F">
        <w:rPr>
          <w:b/>
          <w:bCs/>
        </w:rPr>
        <w:t xml:space="preserve"> India Limited V/s State of Kerala, [2019</w:t>
      </w:r>
      <w:proofErr w:type="gramStart"/>
      <w:r w:rsidRPr="00A5356F">
        <w:rPr>
          <w:b/>
          <w:bCs/>
        </w:rPr>
        <w:t>]  (</w:t>
      </w:r>
      <w:proofErr w:type="gramEnd"/>
      <w:r w:rsidRPr="00A5356F">
        <w:rPr>
          <w:b/>
          <w:bCs/>
        </w:rPr>
        <w:t>Kerala), </w:t>
      </w:r>
      <w:r w:rsidRPr="00A5356F">
        <w:t>it is the submission of the learned counsel for the petitioner that the reasons shown in Ext.P7 notice and Ext.P8 order cannot justify a detention of the goods under </w:t>
      </w:r>
      <w:r w:rsidRPr="00A5356F">
        <w:rPr>
          <w:b/>
          <w:bCs/>
        </w:rPr>
        <w:t>Section 129</w:t>
      </w:r>
      <w:r w:rsidRPr="00A5356F">
        <w:t xml:space="preserve">, since the said reasons are wholly extraneous to the requirements of the said Section. It is in particular, pointed out that the </w:t>
      </w:r>
      <w:proofErr w:type="spellStart"/>
      <w:r w:rsidRPr="00A5356F">
        <w:t>Eway</w:t>
      </w:r>
      <w:proofErr w:type="spellEnd"/>
      <w:r w:rsidRPr="00A5356F">
        <w:t xml:space="preserve"> bill clearly covered the transaction from Gujarat to Trivandrum, and the invoice that covered the transaction was a `Bill to/ship to` model, which was permissible under the CGST/SGST Act and Rules. As regards the registration details of the consignee, it is stated that while at the time of detention, it was assumed that the consignee was an unregistered dealer, immediately thereafter, the details of the registration of the consignee was made available to the respondent, and the fact of receipt of such information is acknowledged in Ext.P8 order served on the petitioner. </w:t>
      </w:r>
      <w:r w:rsidRPr="00A5356F">
        <w:rPr>
          <w:b/>
          <w:bCs/>
        </w:rPr>
        <w:t>Kerala High Court held that</w:t>
      </w:r>
      <w:r w:rsidRPr="00A5356F">
        <w:t> Detention order on the ground that there is a possibility of evasion of tax is not sustainable.</w:t>
      </w:r>
    </w:p>
    <w:p w14:paraId="6BE9B0E8" w14:textId="1404AD5E" w:rsidR="00A5356F" w:rsidRPr="00A5356F" w:rsidRDefault="00A5356F" w:rsidP="00A5356F">
      <w:r w:rsidRPr="00A5356F">
        <w:rPr>
          <w:b/>
          <w:bCs/>
        </w:rPr>
        <w:t>2) In case of DCM Shriram Limited v/s State Tax Officer, [2022</w:t>
      </w:r>
      <w:proofErr w:type="gramStart"/>
      <w:r w:rsidRPr="00A5356F">
        <w:rPr>
          <w:b/>
          <w:bCs/>
        </w:rPr>
        <w:t>]  (</w:t>
      </w:r>
      <w:proofErr w:type="gramEnd"/>
      <w:r w:rsidRPr="00A5356F">
        <w:rPr>
          <w:b/>
          <w:bCs/>
        </w:rPr>
        <w:t>Madras),</w:t>
      </w:r>
      <w:r w:rsidRPr="00A5356F">
        <w:t> the Petitioner challenged the impugned order dated 26.10.2022. The goods were intercepted and detained on the ground that Ship to address is unregistered person and GST Number is not mentioned in tax invoice. The court observed that </w:t>
      </w:r>
      <w:r w:rsidRPr="00A5356F">
        <w:rPr>
          <w:b/>
          <w:bCs/>
        </w:rPr>
        <w:t>Rule 46</w:t>
      </w:r>
      <w:r w:rsidRPr="00A5356F">
        <w:t xml:space="preserve"> required the tax invoice to reflect the GSTN/Unique Identity Number of the recipient. </w:t>
      </w:r>
      <w:proofErr w:type="gramStart"/>
      <w:r w:rsidRPr="00A5356F">
        <w:t>However</w:t>
      </w:r>
      <w:proofErr w:type="gramEnd"/>
      <w:r w:rsidRPr="00A5356F">
        <w:t xml:space="preserve"> the said Rule has not taken into account the concept of a bill to – ship to consignment. The petitioner has made a full disclosure in regard to the purchaser, including the GST particulars, address and PAN number. The prescription under </w:t>
      </w:r>
      <w:r w:rsidRPr="00A5356F">
        <w:rPr>
          <w:b/>
          <w:bCs/>
        </w:rPr>
        <w:t>Rule 46</w:t>
      </w:r>
      <w:r w:rsidRPr="00A5356F">
        <w:t> is thus fully satisfied. It would have been an entirely different matter, had the respondents suspected the transaction as being a method to avoid tax. This aspect of the matter has been clarified in the response to the `frequently asked questions` available on the official website of the department. </w:t>
      </w:r>
      <w:r w:rsidRPr="00A5356F">
        <w:rPr>
          <w:b/>
          <w:bCs/>
        </w:rPr>
        <w:t>Madras High Court</w:t>
      </w:r>
      <w:r w:rsidRPr="00A5356F">
        <w:t> set aside the impugned order and the detained consignment along with cargo ordered to be released forthwith.</w:t>
      </w:r>
    </w:p>
    <w:p w14:paraId="7F349576" w14:textId="380CC972" w:rsidR="00A5356F" w:rsidRPr="00A5356F" w:rsidRDefault="00A5356F" w:rsidP="00A5356F">
      <w:r w:rsidRPr="00A5356F">
        <w:rPr>
          <w:b/>
          <w:bCs/>
        </w:rPr>
        <w:t xml:space="preserve">3) In case of </w:t>
      </w:r>
      <w:proofErr w:type="spellStart"/>
      <w:r w:rsidRPr="00A5356F">
        <w:rPr>
          <w:b/>
          <w:bCs/>
        </w:rPr>
        <w:t>Sleevco</w:t>
      </w:r>
      <w:proofErr w:type="spellEnd"/>
      <w:r w:rsidRPr="00A5356F">
        <w:rPr>
          <w:b/>
          <w:bCs/>
        </w:rPr>
        <w:t xml:space="preserve"> Traders v/s Additional Commissioner, [2022] (Allahabad),</w:t>
      </w:r>
      <w:r w:rsidRPr="00A5356F">
        <w:t xml:space="preserve"> the Learned </w:t>
      </w:r>
      <w:proofErr w:type="gramStart"/>
      <w:r w:rsidRPr="00A5356F">
        <w:t>counsel  for</w:t>
      </w:r>
      <w:proofErr w:type="gramEnd"/>
      <w:r w:rsidRPr="00A5356F">
        <w:t xml:space="preserve"> the petitioner submitted that in pursuance of the purchase order being received from K.R. Industries, </w:t>
      </w:r>
      <w:proofErr w:type="spellStart"/>
      <w:r w:rsidRPr="00A5356F">
        <w:t>Sandila</w:t>
      </w:r>
      <w:proofErr w:type="spellEnd"/>
      <w:r w:rsidRPr="00A5356F">
        <w:t xml:space="preserve">, (U.P.) for purchase of PVC Resign, in turn, the petitioner placed its purchase order to SAFE Climber, Thane, </w:t>
      </w:r>
      <w:proofErr w:type="spellStart"/>
      <w:r w:rsidRPr="00A5356F">
        <w:t>Maharastra</w:t>
      </w:r>
      <w:proofErr w:type="spellEnd"/>
      <w:r w:rsidRPr="00A5356F">
        <w:t xml:space="preserve"> for supply of the said goods. The petitioner directed the SAFE Climber to directly ship the goods to the purchaser i.e. K.R. Industries, </w:t>
      </w:r>
      <w:proofErr w:type="spellStart"/>
      <w:r w:rsidRPr="00A5356F">
        <w:t>Sandila</w:t>
      </w:r>
      <w:proofErr w:type="spellEnd"/>
      <w:r w:rsidRPr="00A5356F">
        <w:t xml:space="preserve">, (U.P.). Accordingly, the tax invoice was received, wherein the name of the petitioner was shown under the head of buyer and the consignee was </w:t>
      </w:r>
      <w:proofErr w:type="gramStart"/>
      <w:r w:rsidRPr="00A5356F">
        <w:t>shows</w:t>
      </w:r>
      <w:proofErr w:type="gramEnd"/>
      <w:r w:rsidRPr="00A5356F">
        <w:t xml:space="preserve"> as K.R. Industries, </w:t>
      </w:r>
      <w:proofErr w:type="spellStart"/>
      <w:r w:rsidRPr="00A5356F">
        <w:t>Sandila</w:t>
      </w:r>
      <w:proofErr w:type="spellEnd"/>
      <w:r w:rsidRPr="00A5356F">
        <w:t xml:space="preserve"> on the tax invoice. Further it is submitted that while generating the e-way bill by the </w:t>
      </w:r>
      <w:proofErr w:type="spellStart"/>
      <w:r w:rsidRPr="00A5356F">
        <w:t>Maharastra</w:t>
      </w:r>
      <w:proofErr w:type="spellEnd"/>
      <w:r w:rsidRPr="00A5356F">
        <w:t xml:space="preserve"> party, it has been specifically mentioned the name of the petitioner, consignment was shipped to K.R. Industries, </w:t>
      </w:r>
      <w:proofErr w:type="spellStart"/>
      <w:r w:rsidRPr="00A5356F">
        <w:t>Sandila</w:t>
      </w:r>
      <w:proofErr w:type="spellEnd"/>
      <w:r w:rsidRPr="00A5356F">
        <w:t xml:space="preserve">, UP. The goods were also accompanying with </w:t>
      </w:r>
      <w:proofErr w:type="spellStart"/>
      <w:r w:rsidRPr="00A5356F">
        <w:t>builty</w:t>
      </w:r>
      <w:proofErr w:type="spellEnd"/>
      <w:r w:rsidRPr="00A5356F">
        <w:t xml:space="preserve"> of New Sagar Indore Transport Corporation and also mentioned in the goods to be consigned to K.R. Industries, </w:t>
      </w:r>
      <w:proofErr w:type="spellStart"/>
      <w:r w:rsidRPr="00A5356F">
        <w:t>Sandila</w:t>
      </w:r>
      <w:proofErr w:type="spellEnd"/>
      <w:r w:rsidRPr="00A5356F">
        <w:t xml:space="preserve">. On reaching at Kanpur, the petitioner has only handed over to its Invoice no. 636 dated 31.1.2020 without taking the delivery of goods. He further submits that e-way bill generated by the seller at </w:t>
      </w:r>
      <w:proofErr w:type="spellStart"/>
      <w:r w:rsidRPr="00A5356F">
        <w:t>Maharastra</w:t>
      </w:r>
      <w:proofErr w:type="spellEnd"/>
      <w:r w:rsidRPr="00A5356F">
        <w:t xml:space="preserve"> was valid up to 15.2.2020, therefore, for the same transaction two e-way bills cannot be generated because the goods was in transit and the delivery was not taken. He further submitted that there was no contravention of the provisions of the Act as the goods in question were duly accompanying the requisite documents as required under the Act. He further submitted that the respondents were not justified in detaining the goods and demanding the amount of tax as well as penalty for release of the goods and vehicle. He further submitted that the appellate authority has erred in not considering the case in its true perspective and in the absence of any </w:t>
      </w:r>
      <w:proofErr w:type="spellStart"/>
      <w:r w:rsidRPr="00A5356F">
        <w:t>mens</w:t>
      </w:r>
      <w:proofErr w:type="spellEnd"/>
      <w:r w:rsidRPr="00A5356F">
        <w:t xml:space="preserve"> rea for evading the payment of tax, the action of the respondents is illegal. The order passed by the authorities below cannot be sustained. He prays for quashing the impugned order. </w:t>
      </w:r>
      <w:r w:rsidRPr="00A5356F">
        <w:rPr>
          <w:b/>
          <w:bCs/>
        </w:rPr>
        <w:t>Allahabad High Court held that</w:t>
      </w:r>
      <w:r w:rsidRPr="00A5356F">
        <w:t xml:space="preserve"> once the valid document i.e. e-way bill and tax invoice, </w:t>
      </w:r>
      <w:proofErr w:type="spellStart"/>
      <w:r w:rsidRPr="00A5356F">
        <w:t>builty</w:t>
      </w:r>
      <w:proofErr w:type="spellEnd"/>
      <w:r w:rsidRPr="00A5356F">
        <w:t xml:space="preserve"> was accompanying with the goods, therefore the authorities ought not to have drag the petitioner in an unnecessary litigation. The Court finds that there is neither any intention to evade the payment of tax nor any fault nor any contravention of the Act as all valid documents were accompanying with the goods as required under the Act, therefore, the proceedings initiated against the petitioner cannot sustain and are hereby quashed.</w:t>
      </w:r>
    </w:p>
    <w:p w14:paraId="1F56CBE0" w14:textId="1788789E" w:rsidR="00A5356F" w:rsidRPr="00A5356F" w:rsidRDefault="00A5356F" w:rsidP="00A5356F">
      <w:r w:rsidRPr="00A5356F">
        <w:rPr>
          <w:b/>
          <w:bCs/>
        </w:rPr>
        <w:t xml:space="preserve">4) In the case of </w:t>
      </w:r>
      <w:proofErr w:type="spellStart"/>
      <w:r w:rsidRPr="00A5356F">
        <w:rPr>
          <w:b/>
          <w:bCs/>
        </w:rPr>
        <w:t>Macmet</w:t>
      </w:r>
      <w:proofErr w:type="spellEnd"/>
      <w:r w:rsidRPr="00A5356F">
        <w:rPr>
          <w:b/>
          <w:bCs/>
        </w:rPr>
        <w:t xml:space="preserve"> Engineering Ltd., [2022]  (Madras), </w:t>
      </w:r>
      <w:r w:rsidRPr="00A5356F">
        <w:t>where Five vehicles were intercepted by the respondent and detained under </w:t>
      </w:r>
      <w:r w:rsidRPr="00A5356F">
        <w:rPr>
          <w:b/>
          <w:bCs/>
        </w:rPr>
        <w:t>Section 68(3)</w:t>
      </w:r>
      <w:r w:rsidRPr="00A5356F">
        <w:t> read with </w:t>
      </w:r>
      <w:r w:rsidRPr="00A5356F">
        <w:rPr>
          <w:b/>
          <w:bCs/>
        </w:rPr>
        <w:t>Section 129(1)</w:t>
      </w:r>
      <w:r w:rsidRPr="00A5356F">
        <w:t>. SCN dated 04.08.2022 in Form </w:t>
      </w:r>
      <w:r w:rsidRPr="00A5356F">
        <w:rPr>
          <w:b/>
          <w:bCs/>
        </w:rPr>
        <w:t>MOV 07</w:t>
      </w:r>
      <w:r w:rsidRPr="00A5356F">
        <w:t> issued on the allegation that the vehicles carried consignments under `Bill to – Ship to` concept, but the drivers were not in possession of invoices to support transport to `Bill to` address in Tamil Nadu. The court considering the nature of contract business observed that the only mistake committed is that, in the invoice, instead of ITD Cementation India Limited, the petitioner`s name is mentioned, except the said mistake, all other particulars properly recorded and 14 vehicles already reached the destination, five vehicles are in detention and 15 vehicles are in transit. It is seen that the petitioner already uploaded the particulars in the GST. Portal even before the detention. The petitioner to produce all the documents to the jurisdictional assessing officer, give his explanation and it is for the assessing officer to see whether the triangular transaction `Bill to`, `Ship to` is complete and thereafter, process the same. </w:t>
      </w:r>
      <w:r w:rsidRPr="00A5356F">
        <w:rPr>
          <w:b/>
          <w:bCs/>
        </w:rPr>
        <w:t>Madras High Court held that</w:t>
      </w:r>
      <w:r w:rsidRPr="00A5356F">
        <w:t> the impugned detention orders and directed the second respondent to forward all the documents to the concerned jurisdictional assessing officer, who shall take up the issue and decide the same after giving opportunity to the petitioner. To safeguard the revenue, the petitioner to execute a bond for the demand and penalty raised.</w:t>
      </w:r>
    </w:p>
    <w:p w14:paraId="5FD81B87" w14:textId="4C140DE0" w:rsidR="00A5356F" w:rsidRPr="00A5356F" w:rsidRDefault="00A5356F" w:rsidP="00A5356F">
      <w:r w:rsidRPr="00A5356F">
        <w:t>We submit that the proper officer cannot justify a detention of the goods under </w:t>
      </w:r>
      <w:r w:rsidRPr="00A5356F">
        <w:rPr>
          <w:b/>
          <w:bCs/>
        </w:rPr>
        <w:t>Section 129</w:t>
      </w:r>
      <w:r w:rsidRPr="00A5356F">
        <w:t>, since this reason is wholly extraneous to the requirements of the said section.</w:t>
      </w:r>
    </w:p>
    <w:p w14:paraId="00A4EB01" w14:textId="77EF7DD1" w:rsidR="00A5356F" w:rsidRPr="00A5356F" w:rsidRDefault="00A5356F" w:rsidP="00A5356F">
      <w:r w:rsidRPr="00A5356F">
        <w:t>There was no justification for detention of the goods in terms of </w:t>
      </w:r>
      <w:r w:rsidRPr="00A5356F">
        <w:rPr>
          <w:b/>
          <w:bCs/>
        </w:rPr>
        <w:t>Section 129</w:t>
      </w:r>
      <w:r w:rsidRPr="00A5356F">
        <w:t> of the CGST/SGST Act. This is more so because the reasons stated in the detention order are wholly irrelevant for the purposes of </w:t>
      </w:r>
      <w:r w:rsidRPr="00A5356F">
        <w:rPr>
          <w:b/>
          <w:bCs/>
        </w:rPr>
        <w:t>Section 129</w:t>
      </w:r>
      <w:r w:rsidRPr="00A5356F">
        <w:t> of the Act.</w:t>
      </w:r>
    </w:p>
    <w:p w14:paraId="51D83A7D" w14:textId="7F405333" w:rsidR="00A5356F" w:rsidRPr="00A5356F" w:rsidRDefault="00A5356F" w:rsidP="00A5356F">
      <w:r w:rsidRPr="00A5356F">
        <w:t>In view of the above facts and referred judgment, there was no requirement to levy penalty under </w:t>
      </w:r>
      <w:r w:rsidRPr="00A5356F">
        <w:rPr>
          <w:b/>
          <w:bCs/>
        </w:rPr>
        <w:t>Section 129(3)</w:t>
      </w:r>
      <w:r w:rsidRPr="00A5356F">
        <w:t> of the Act.</w:t>
      </w:r>
    </w:p>
    <w:p w14:paraId="6F489EEE" w14:textId="77777777" w:rsidR="00A5356F" w:rsidRPr="00A5356F" w:rsidRDefault="00A5356F" w:rsidP="00A5356F">
      <w:r w:rsidRPr="00A5356F">
        <w:t>We humbly request your good self to consider the above submissions and drop the proceeding under the said demand order. We pray for a personal hearing on the matter and submit that the above grounds are without prejudice to one another.</w:t>
      </w:r>
    </w:p>
    <w:p w14:paraId="50060DBE" w14:textId="77777777" w:rsidR="00A5356F" w:rsidRPr="00A5356F" w:rsidRDefault="00A5356F" w:rsidP="00A5356F">
      <w:r w:rsidRPr="00A5356F">
        <w:t>Thanking you,</w:t>
      </w:r>
    </w:p>
    <w:p w14:paraId="134A007A" w14:textId="77777777" w:rsidR="00A5356F" w:rsidRPr="00A5356F" w:rsidRDefault="00A5356F" w:rsidP="00A5356F">
      <w:r w:rsidRPr="00A5356F">
        <w:t>Yours faithfully,</w:t>
      </w:r>
    </w:p>
    <w:p w14:paraId="44E227A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6F"/>
    <w:rsid w:val="00031CAE"/>
    <w:rsid w:val="00447B58"/>
    <w:rsid w:val="005237F3"/>
    <w:rsid w:val="00836166"/>
    <w:rsid w:val="00A535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1702"/>
  <w15:chartTrackingRefBased/>
  <w15:docId w15:val="{DAE1408D-9501-4ADE-83C7-419C92BB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6F"/>
    <w:rPr>
      <w:rFonts w:eastAsiaTheme="majorEastAsia" w:cstheme="majorBidi"/>
      <w:color w:val="272727" w:themeColor="text1" w:themeTint="D8"/>
    </w:rPr>
  </w:style>
  <w:style w:type="paragraph" w:styleId="Title">
    <w:name w:val="Title"/>
    <w:basedOn w:val="Normal"/>
    <w:next w:val="Normal"/>
    <w:link w:val="TitleChar"/>
    <w:uiPriority w:val="10"/>
    <w:qFormat/>
    <w:rsid w:val="00A53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6F"/>
    <w:pPr>
      <w:spacing w:before="160"/>
      <w:jc w:val="center"/>
    </w:pPr>
    <w:rPr>
      <w:i/>
      <w:iCs/>
      <w:color w:val="404040" w:themeColor="text1" w:themeTint="BF"/>
    </w:rPr>
  </w:style>
  <w:style w:type="character" w:customStyle="1" w:styleId="QuoteChar">
    <w:name w:val="Quote Char"/>
    <w:basedOn w:val="DefaultParagraphFont"/>
    <w:link w:val="Quote"/>
    <w:uiPriority w:val="29"/>
    <w:rsid w:val="00A5356F"/>
    <w:rPr>
      <w:i/>
      <w:iCs/>
      <w:color w:val="404040" w:themeColor="text1" w:themeTint="BF"/>
    </w:rPr>
  </w:style>
  <w:style w:type="paragraph" w:styleId="ListParagraph">
    <w:name w:val="List Paragraph"/>
    <w:basedOn w:val="Normal"/>
    <w:uiPriority w:val="34"/>
    <w:qFormat/>
    <w:rsid w:val="00A5356F"/>
    <w:pPr>
      <w:ind w:left="720"/>
      <w:contextualSpacing/>
    </w:pPr>
  </w:style>
  <w:style w:type="character" w:styleId="IntenseEmphasis">
    <w:name w:val="Intense Emphasis"/>
    <w:basedOn w:val="DefaultParagraphFont"/>
    <w:uiPriority w:val="21"/>
    <w:qFormat/>
    <w:rsid w:val="00A5356F"/>
    <w:rPr>
      <w:i/>
      <w:iCs/>
      <w:color w:val="2F5496" w:themeColor="accent1" w:themeShade="BF"/>
    </w:rPr>
  </w:style>
  <w:style w:type="paragraph" w:styleId="IntenseQuote">
    <w:name w:val="Intense Quote"/>
    <w:basedOn w:val="Normal"/>
    <w:next w:val="Normal"/>
    <w:link w:val="IntenseQuoteChar"/>
    <w:uiPriority w:val="30"/>
    <w:qFormat/>
    <w:rsid w:val="00A53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56F"/>
    <w:rPr>
      <w:i/>
      <w:iCs/>
      <w:color w:val="2F5496" w:themeColor="accent1" w:themeShade="BF"/>
    </w:rPr>
  </w:style>
  <w:style w:type="character" w:styleId="IntenseReference">
    <w:name w:val="Intense Reference"/>
    <w:basedOn w:val="DefaultParagraphFont"/>
    <w:uiPriority w:val="32"/>
    <w:qFormat/>
    <w:rsid w:val="00A5356F"/>
    <w:rPr>
      <w:b/>
      <w:bCs/>
      <w:smallCaps/>
      <w:color w:val="2F5496" w:themeColor="accent1" w:themeShade="BF"/>
      <w:spacing w:val="5"/>
    </w:rPr>
  </w:style>
  <w:style w:type="character" w:styleId="Hyperlink">
    <w:name w:val="Hyperlink"/>
    <w:basedOn w:val="DefaultParagraphFont"/>
    <w:uiPriority w:val="99"/>
    <w:unhideWhenUsed/>
    <w:rsid w:val="00A5356F"/>
    <w:rPr>
      <w:color w:val="0563C1" w:themeColor="hyperlink"/>
      <w:u w:val="single"/>
    </w:rPr>
  </w:style>
  <w:style w:type="character" w:styleId="UnresolvedMention">
    <w:name w:val="Unresolved Mention"/>
    <w:basedOn w:val="DefaultParagraphFont"/>
    <w:uiPriority w:val="99"/>
    <w:semiHidden/>
    <w:unhideWhenUsed/>
    <w:rsid w:val="00A53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2025-10-27T06:21:00Z</dcterms:created>
  <dcterms:modified xsi:type="dcterms:W3CDTF">2025-10-27T08:03:00Z</dcterms:modified>
</cp:coreProperties>
</file>