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340C" w14:textId="77777777" w:rsidR="00724FDD" w:rsidRPr="00724FDD" w:rsidRDefault="00724FDD" w:rsidP="00724FDD">
      <w:r w:rsidRPr="00724FDD">
        <w:rPr>
          <w:b/>
          <w:bCs/>
        </w:rPr>
        <w:t>To,</w:t>
      </w:r>
    </w:p>
    <w:p w14:paraId="19EE71A0" w14:textId="77777777" w:rsidR="00724FDD" w:rsidRPr="00724FDD" w:rsidRDefault="00724FDD" w:rsidP="00724FDD">
      <w:r w:rsidRPr="00724FDD">
        <w:t>The State Tax Officer,</w:t>
      </w:r>
    </w:p>
    <w:p w14:paraId="6B89C29E" w14:textId="08C79AFF" w:rsidR="00724FDD" w:rsidRPr="00724FDD" w:rsidRDefault="00724FDD" w:rsidP="00724FDD"/>
    <w:p w14:paraId="1EFC09C8" w14:textId="77777777" w:rsidR="00724FDD" w:rsidRPr="00724FDD" w:rsidRDefault="00724FDD" w:rsidP="00724FDD">
      <w:r w:rsidRPr="00724FDD">
        <w:rPr>
          <w:b/>
          <w:bCs/>
        </w:rPr>
        <w:t>Subject:</w:t>
      </w:r>
      <w:r w:rsidRPr="00724FDD">
        <w:t> Reply to Show Cause Notice Dated 18/08/2022 under Section 73(1) of GST Act</w:t>
      </w:r>
    </w:p>
    <w:p w14:paraId="4610042A" w14:textId="77777777" w:rsidR="00724FDD" w:rsidRPr="00724FDD" w:rsidRDefault="00724FDD" w:rsidP="00724FDD">
      <w:r w:rsidRPr="00724FDD">
        <w:t>Respected Sir,</w:t>
      </w:r>
    </w:p>
    <w:p w14:paraId="6F7C962C" w14:textId="5D341472" w:rsidR="00724FDD" w:rsidRPr="00724FDD" w:rsidRDefault="00724FDD" w:rsidP="00724FDD">
      <w:r w:rsidRPr="00724FDD">
        <w:t>With reference to the show cause notice (SCN) issued under </w:t>
      </w:r>
      <w:r w:rsidRPr="00724FDD">
        <w:rPr>
          <w:b/>
          <w:bCs/>
        </w:rPr>
        <w:t>Section 73</w:t>
      </w:r>
      <w:r w:rsidRPr="00724FDD">
        <w:t>(1) of the GST Act, we hereby submit our detailed response for your consideration.</w:t>
      </w:r>
    </w:p>
    <w:p w14:paraId="199A0ACD" w14:textId="77777777" w:rsidR="00724FDD" w:rsidRPr="00724FDD" w:rsidRDefault="00724FDD" w:rsidP="00724FDD">
      <w:r w:rsidRPr="00724FDD">
        <w:rPr>
          <w:b/>
          <w:bCs/>
        </w:rPr>
        <w:t>1. Summary of Notice and Allegations</w:t>
      </w:r>
    </w:p>
    <w:p w14:paraId="459D14D7" w14:textId="47D7B367" w:rsidR="00724FDD" w:rsidRPr="00724FDD" w:rsidRDefault="00724FDD" w:rsidP="00724FDD">
      <w:r w:rsidRPr="00724FDD">
        <w:t>The SCN alleges discrepancies between the tax liability disclosed in </w:t>
      </w:r>
      <w:r w:rsidRPr="00724FDD">
        <w:rPr>
          <w:b/>
          <w:bCs/>
        </w:rPr>
        <w:t>GSTR-1</w:t>
      </w:r>
      <w:r w:rsidRPr="00724FDD">
        <w:t> and that reported and paid in </w:t>
      </w:r>
      <w:r w:rsidRPr="00724FDD">
        <w:rPr>
          <w:b/>
          <w:bCs/>
        </w:rPr>
        <w:t>GSTR-3B</w:t>
      </w:r>
      <w:r w:rsidRPr="00724FDD">
        <w:t>, along with claims regarding input tax credit (ITC) availed on inward supplies from registration-cancelled suppliers.</w:t>
      </w:r>
    </w:p>
    <w:p w14:paraId="3635690D" w14:textId="77777777" w:rsidR="00724FDD" w:rsidRPr="00724FDD" w:rsidRDefault="00724FDD" w:rsidP="00724FDD">
      <w:r w:rsidRPr="00724FDD">
        <w:rPr>
          <w:b/>
          <w:bCs/>
        </w:rPr>
        <w:t>2. Explanation for Discrepancies</w:t>
      </w:r>
    </w:p>
    <w:p w14:paraId="3A0BF59C" w14:textId="4CC049E1" w:rsidR="00724FDD" w:rsidRPr="00724FDD" w:rsidRDefault="00724FDD" w:rsidP="00724FDD">
      <w:r w:rsidRPr="00724FDD">
        <w:t>The primary reason for the difference in tax liability reported in </w:t>
      </w:r>
      <w:r w:rsidRPr="00724FDD">
        <w:rPr>
          <w:b/>
          <w:bCs/>
        </w:rPr>
        <w:t>GSTR-1</w:t>
      </w:r>
      <w:r w:rsidRPr="00724FDD">
        <w:t> and </w:t>
      </w:r>
      <w:r w:rsidRPr="00724FDD">
        <w:rPr>
          <w:b/>
          <w:bCs/>
        </w:rPr>
        <w:t>GSTR-3B</w:t>
      </w:r>
      <w:r w:rsidRPr="00724FDD">
        <w:t> is due to the return of certain goods by our buyers during the tax period. Unfortunately, due to technical issues encountered during the initial implementation of GST, we were unable to file credit notes in the subsequent </w:t>
      </w:r>
      <w:r w:rsidRPr="00724FDD">
        <w:rPr>
          <w:b/>
          <w:bCs/>
        </w:rPr>
        <w:t>GSTR-1</w:t>
      </w:r>
      <w:r w:rsidRPr="00724FDD">
        <w:t> for these goods returns. However, the following facts are important:</w:t>
      </w:r>
    </w:p>
    <w:p w14:paraId="77DA2BFF" w14:textId="77777777" w:rsidR="00724FDD" w:rsidRPr="00724FDD" w:rsidRDefault="00724FDD" w:rsidP="00724FDD">
      <w:pPr>
        <w:numPr>
          <w:ilvl w:val="0"/>
          <w:numId w:val="1"/>
        </w:numPr>
      </w:pPr>
      <w:r w:rsidRPr="00724FDD">
        <w:t>The returned goods were accounted for in our internal records, and tax adjustment was made through subsequent filings.</w:t>
      </w:r>
    </w:p>
    <w:p w14:paraId="07D6DD09" w14:textId="77777777" w:rsidR="00724FDD" w:rsidRPr="00724FDD" w:rsidRDefault="00724FDD" w:rsidP="00724FDD">
      <w:pPr>
        <w:numPr>
          <w:ilvl w:val="0"/>
          <w:numId w:val="1"/>
        </w:numPr>
      </w:pPr>
      <w:r w:rsidRPr="00724FDD">
        <w:t>The buyers of these returned goods did not claim any ITC for these transactions, thereby ensuring no loss of revenue to the Government.</w:t>
      </w:r>
    </w:p>
    <w:p w14:paraId="58EA5E70" w14:textId="77777777" w:rsidR="00724FDD" w:rsidRPr="00724FDD" w:rsidRDefault="00724FDD" w:rsidP="00724FDD">
      <w:pPr>
        <w:numPr>
          <w:ilvl w:val="0"/>
          <w:numId w:val="1"/>
        </w:numPr>
      </w:pPr>
      <w:r w:rsidRPr="00724FDD">
        <w:t>The discrepancies arose purely from technical challenges and administrative delays during the early stages of GST implementation.</w:t>
      </w:r>
    </w:p>
    <w:p w14:paraId="3235C30F" w14:textId="77777777" w:rsidR="00724FDD" w:rsidRPr="00724FDD" w:rsidRDefault="00724FDD" w:rsidP="00724FDD">
      <w:r w:rsidRPr="00724FDD">
        <w:rPr>
          <w:b/>
          <w:bCs/>
        </w:rPr>
        <w:t>3. Relevant Judicial Precedents</w:t>
      </w:r>
    </w:p>
    <w:p w14:paraId="5388DE28" w14:textId="77777777" w:rsidR="00724FDD" w:rsidRPr="00724FDD" w:rsidRDefault="00724FDD" w:rsidP="00724FDD">
      <w:r w:rsidRPr="00724FDD">
        <w:t>We respectfully draw your attention to various judicial rulings that support a reconsideration of such discrepancies:</w:t>
      </w:r>
    </w:p>
    <w:p w14:paraId="44BF77DA" w14:textId="767A6C81" w:rsidR="00724FDD" w:rsidRPr="00724FDD" w:rsidRDefault="00724FDD" w:rsidP="00724FDD">
      <w:pPr>
        <w:numPr>
          <w:ilvl w:val="0"/>
          <w:numId w:val="2"/>
        </w:numPr>
      </w:pPr>
      <w:proofErr w:type="spellStart"/>
      <w:r w:rsidRPr="00724FDD">
        <w:rPr>
          <w:b/>
          <w:bCs/>
        </w:rPr>
        <w:t>Promatrix</w:t>
      </w:r>
      <w:proofErr w:type="spellEnd"/>
      <w:r w:rsidRPr="00724FDD">
        <w:rPr>
          <w:b/>
          <w:bCs/>
        </w:rPr>
        <w:t xml:space="preserve"> Systems [2024</w:t>
      </w:r>
      <w:proofErr w:type="gramStart"/>
      <w:r w:rsidRPr="00724FDD">
        <w:rPr>
          <w:b/>
          <w:bCs/>
        </w:rPr>
        <w:t>]  (</w:t>
      </w:r>
      <w:proofErr w:type="gramEnd"/>
      <w:r w:rsidRPr="00724FDD">
        <w:rPr>
          <w:b/>
          <w:bCs/>
        </w:rPr>
        <w:t>Madras):</w:t>
      </w:r>
      <w:r w:rsidRPr="00724FDD">
        <w:t> The court observed that mismatches between </w:t>
      </w:r>
      <w:r w:rsidRPr="00724FDD">
        <w:rPr>
          <w:b/>
          <w:bCs/>
        </w:rPr>
        <w:t>GSTR-1</w:t>
      </w:r>
      <w:r w:rsidRPr="00724FDD">
        <w:t> and </w:t>
      </w:r>
      <w:r w:rsidRPr="00724FDD">
        <w:rPr>
          <w:b/>
          <w:bCs/>
        </w:rPr>
        <w:t>GSTR-3B</w:t>
      </w:r>
      <w:r w:rsidRPr="00724FDD">
        <w:t> due to errors (e.g., reporting discrepancies) should be reconsidered on merit, giving the taxpayer an opportunity to explain the situation.</w:t>
      </w:r>
    </w:p>
    <w:p w14:paraId="0065BF70" w14:textId="3C12EF77" w:rsidR="00724FDD" w:rsidRPr="00724FDD" w:rsidRDefault="00724FDD" w:rsidP="00724FDD">
      <w:pPr>
        <w:numPr>
          <w:ilvl w:val="0"/>
          <w:numId w:val="2"/>
        </w:numPr>
      </w:pPr>
      <w:r w:rsidRPr="00724FDD">
        <w:rPr>
          <w:b/>
          <w:bCs/>
        </w:rPr>
        <w:t>Haritha Motors [2024] (Madras):</w:t>
      </w:r>
      <w:r w:rsidRPr="00724FDD">
        <w:t> The court quashed a demand based on GSTR mismatches, directing a fresh hearing to review the petitioner`s explanations.</w:t>
      </w:r>
    </w:p>
    <w:p w14:paraId="5A6DEBFA" w14:textId="12ED5F26" w:rsidR="00724FDD" w:rsidRPr="00724FDD" w:rsidRDefault="00724FDD" w:rsidP="00724FDD">
      <w:pPr>
        <w:numPr>
          <w:ilvl w:val="0"/>
          <w:numId w:val="2"/>
        </w:numPr>
      </w:pPr>
      <w:proofErr w:type="spellStart"/>
      <w:r w:rsidRPr="00724FDD">
        <w:rPr>
          <w:b/>
          <w:bCs/>
        </w:rPr>
        <w:lastRenderedPageBreak/>
        <w:t>Hajabandenawas</w:t>
      </w:r>
      <w:proofErr w:type="spellEnd"/>
      <w:r w:rsidRPr="00724FDD">
        <w:rPr>
          <w:b/>
          <w:bCs/>
        </w:rPr>
        <w:t xml:space="preserve"> Partner of </w:t>
      </w:r>
      <w:proofErr w:type="spellStart"/>
      <w:r w:rsidRPr="00724FDD">
        <w:rPr>
          <w:b/>
          <w:bCs/>
        </w:rPr>
        <w:t>Hameedia</w:t>
      </w:r>
      <w:proofErr w:type="spellEnd"/>
      <w:r w:rsidRPr="00724FDD">
        <w:rPr>
          <w:b/>
          <w:bCs/>
        </w:rPr>
        <w:t xml:space="preserve"> Hardware Corporation [2024]:</w:t>
      </w:r>
      <w:r w:rsidRPr="00724FDD">
        <w:t> This ruling emphasized the importance of allowing taxpayers to submit supporting documentation and explanations before passing an adverse order.</w:t>
      </w:r>
    </w:p>
    <w:p w14:paraId="4602A9D1" w14:textId="08969828" w:rsidR="00724FDD" w:rsidRPr="00724FDD" w:rsidRDefault="00724FDD" w:rsidP="00724FDD">
      <w:pPr>
        <w:numPr>
          <w:ilvl w:val="0"/>
          <w:numId w:val="2"/>
        </w:numPr>
      </w:pPr>
      <w:r w:rsidRPr="00724FDD">
        <w:rPr>
          <w:b/>
          <w:bCs/>
        </w:rPr>
        <w:t>Exim Ink Co [2024] 71:</w:t>
      </w:r>
      <w:r w:rsidRPr="00724FDD">
        <w:t> The court remanded a matter for reconsideration, where the authority failed to properly evaluate the taxpayer`s responses to discrepancies.</w:t>
      </w:r>
    </w:p>
    <w:p w14:paraId="6F39908A" w14:textId="77777777" w:rsidR="00724FDD" w:rsidRPr="00724FDD" w:rsidRDefault="00724FDD" w:rsidP="00724FDD">
      <w:r w:rsidRPr="00724FDD">
        <w:t>These rulings demonstrate that genuine errors during GST`s initial implementation period warrant leniency and an opportunity for reconciliation.</w:t>
      </w:r>
    </w:p>
    <w:p w14:paraId="0E6AE144" w14:textId="77777777" w:rsidR="00724FDD" w:rsidRPr="00724FDD" w:rsidRDefault="00724FDD" w:rsidP="00724FDD">
      <w:r w:rsidRPr="00724FDD">
        <w:rPr>
          <w:b/>
          <w:bCs/>
        </w:rPr>
        <w:t>4. Request for Reconsideration and Hearing</w:t>
      </w:r>
    </w:p>
    <w:p w14:paraId="3550AD2B" w14:textId="77777777" w:rsidR="00724FDD" w:rsidRPr="00724FDD" w:rsidRDefault="00724FDD" w:rsidP="00724FDD">
      <w:r w:rsidRPr="00724FDD">
        <w:t>In light of the above facts, we request the following:</w:t>
      </w:r>
    </w:p>
    <w:p w14:paraId="73101EB0" w14:textId="77777777" w:rsidR="00724FDD" w:rsidRPr="00724FDD" w:rsidRDefault="00724FDD" w:rsidP="00724FDD">
      <w:pPr>
        <w:numPr>
          <w:ilvl w:val="0"/>
          <w:numId w:val="3"/>
        </w:numPr>
      </w:pPr>
      <w:r w:rsidRPr="00724FDD">
        <w:t>A personal hearing to explain the reasons for the discrepancies and present all relevant supporting documents.</w:t>
      </w:r>
    </w:p>
    <w:p w14:paraId="4C763E7F" w14:textId="77777777" w:rsidR="00724FDD" w:rsidRPr="00724FDD" w:rsidRDefault="00724FDD" w:rsidP="00724FDD">
      <w:pPr>
        <w:numPr>
          <w:ilvl w:val="0"/>
          <w:numId w:val="3"/>
        </w:numPr>
      </w:pPr>
      <w:r w:rsidRPr="00724FDD">
        <w:t>Reconsideration of the proposed demand based on our explanations and the lack of any ITC claim by the buyers on returned goods.</w:t>
      </w:r>
    </w:p>
    <w:p w14:paraId="6F487203" w14:textId="77777777" w:rsidR="00724FDD" w:rsidRPr="00724FDD" w:rsidRDefault="00724FDD" w:rsidP="00724FDD">
      <w:pPr>
        <w:numPr>
          <w:ilvl w:val="0"/>
          <w:numId w:val="3"/>
        </w:numPr>
      </w:pPr>
      <w:r w:rsidRPr="00724FDD">
        <w:t>Waiver or reduction of penalties and interest, as the discrepancy was due to technical challenges beyond our control during the early stages of GST implementation.</w:t>
      </w:r>
    </w:p>
    <w:p w14:paraId="494AE22A" w14:textId="77777777" w:rsidR="00724FDD" w:rsidRPr="00724FDD" w:rsidRDefault="00724FDD" w:rsidP="00724FDD">
      <w:r w:rsidRPr="00724FDD">
        <w:rPr>
          <w:b/>
          <w:bCs/>
        </w:rPr>
        <w:t>5. Compliance and Cooperation</w:t>
      </w:r>
    </w:p>
    <w:p w14:paraId="58D32F83" w14:textId="77777777" w:rsidR="00724FDD" w:rsidRPr="00724FDD" w:rsidRDefault="00724FDD" w:rsidP="00724FDD">
      <w:r w:rsidRPr="00724FDD">
        <w:t>We assure the department of our commitment to full compliance with GST laws and our willingness to resolve the matter amicably. We have consistently acted in good faith to comply with all tax obligations.</w:t>
      </w:r>
    </w:p>
    <w:p w14:paraId="38D28EA8" w14:textId="77777777" w:rsidR="00724FDD" w:rsidRPr="00724FDD" w:rsidRDefault="00724FDD" w:rsidP="00724FDD">
      <w:r w:rsidRPr="00724FDD">
        <w:t>We look forward to your favorable consideration and an opportunity for a personal hearing.</w:t>
      </w:r>
    </w:p>
    <w:p w14:paraId="00B78340" w14:textId="77777777" w:rsidR="00724FDD" w:rsidRPr="00724FDD" w:rsidRDefault="00724FDD" w:rsidP="00724FDD">
      <w:r w:rsidRPr="00724FDD">
        <w:t>Thank you.</w:t>
      </w:r>
    </w:p>
    <w:p w14:paraId="1B32D4EA" w14:textId="77777777" w:rsidR="00724FDD" w:rsidRPr="00724FDD" w:rsidRDefault="00724FDD" w:rsidP="00724FDD">
      <w:r w:rsidRPr="00724FDD">
        <w:t>Yours faithfully,</w:t>
      </w:r>
    </w:p>
    <w:p w14:paraId="081EE45D" w14:textId="77777777" w:rsidR="00724FDD" w:rsidRPr="00724FDD" w:rsidRDefault="00724FDD" w:rsidP="00724FDD">
      <w:r w:rsidRPr="00724FDD">
        <w:rPr>
          <w:b/>
          <w:bCs/>
        </w:rPr>
        <w:t xml:space="preserve">For </w:t>
      </w:r>
      <w:proofErr w:type="spellStart"/>
      <w:r w:rsidRPr="00724FDD">
        <w:rPr>
          <w:b/>
          <w:bCs/>
        </w:rPr>
        <w:t>Metroz</w:t>
      </w:r>
      <w:proofErr w:type="spellEnd"/>
      <w:r w:rsidRPr="00724FDD">
        <w:rPr>
          <w:b/>
          <w:bCs/>
        </w:rPr>
        <w:t xml:space="preserve"> Enterprises</w:t>
      </w:r>
    </w:p>
    <w:p w14:paraId="242B6A1D" w14:textId="77777777" w:rsidR="00724FDD" w:rsidRPr="00724FDD" w:rsidRDefault="00724FDD" w:rsidP="00724FDD">
      <w:r w:rsidRPr="00724FDD">
        <w:t>Authorized Signatory</w:t>
      </w:r>
    </w:p>
    <w:p w14:paraId="30929DB6" w14:textId="77777777" w:rsidR="00724FDD" w:rsidRPr="00724FDD" w:rsidRDefault="00724FDD" w:rsidP="00724FDD">
      <w:r w:rsidRPr="00724FDD">
        <w:t>Date: 10/02/2025</w:t>
      </w:r>
    </w:p>
    <w:p w14:paraId="03B90FAC" w14:textId="77777777" w:rsidR="00724FDD" w:rsidRPr="00724FDD" w:rsidRDefault="00724FDD" w:rsidP="00724FDD">
      <w:r w:rsidRPr="00724FDD">
        <w:t>Place: Ahmednagar</w:t>
      </w:r>
    </w:p>
    <w:p w14:paraId="6D9AEC52" w14:textId="77777777" w:rsidR="00724FDD" w:rsidRPr="00724FDD" w:rsidRDefault="00724FDD" w:rsidP="00724FDD">
      <w:r w:rsidRPr="00724FDD">
        <w:t>Enclosures:</w:t>
      </w:r>
    </w:p>
    <w:p w14:paraId="6B68FC23" w14:textId="77777777" w:rsidR="00724FDD" w:rsidRPr="00724FDD" w:rsidRDefault="00724FDD" w:rsidP="00724FDD">
      <w:pPr>
        <w:numPr>
          <w:ilvl w:val="0"/>
          <w:numId w:val="4"/>
        </w:numPr>
      </w:pPr>
      <w:r w:rsidRPr="00724FDD">
        <w:t>Copies of relevant GST returns</w:t>
      </w:r>
    </w:p>
    <w:p w14:paraId="359DB3FD" w14:textId="77777777" w:rsidR="00724FDD" w:rsidRPr="00724FDD" w:rsidRDefault="00724FDD" w:rsidP="00724FDD">
      <w:pPr>
        <w:numPr>
          <w:ilvl w:val="0"/>
          <w:numId w:val="4"/>
        </w:numPr>
      </w:pPr>
      <w:r w:rsidRPr="00724FDD">
        <w:t>Supporting documents for reconciliation</w:t>
      </w:r>
    </w:p>
    <w:p w14:paraId="7E0ED2B0" w14:textId="77777777" w:rsidR="00724FDD" w:rsidRPr="00724FDD" w:rsidRDefault="00724FDD" w:rsidP="00724FDD">
      <w:pPr>
        <w:numPr>
          <w:ilvl w:val="0"/>
          <w:numId w:val="4"/>
        </w:numPr>
      </w:pPr>
      <w:r w:rsidRPr="00724FDD">
        <w:t>Copies of cited case laws</w:t>
      </w:r>
    </w:p>
    <w:p w14:paraId="6C4785AE"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7718D"/>
    <w:multiLevelType w:val="multilevel"/>
    <w:tmpl w:val="0A08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7D75F1"/>
    <w:multiLevelType w:val="multilevel"/>
    <w:tmpl w:val="D5BE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AE0C2A"/>
    <w:multiLevelType w:val="multilevel"/>
    <w:tmpl w:val="A1D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EC630A"/>
    <w:multiLevelType w:val="multilevel"/>
    <w:tmpl w:val="8ED4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5884430">
    <w:abstractNumId w:val="1"/>
  </w:num>
  <w:num w:numId="2" w16cid:durableId="728378253">
    <w:abstractNumId w:val="0"/>
  </w:num>
  <w:num w:numId="3" w16cid:durableId="2010910789">
    <w:abstractNumId w:val="3"/>
  </w:num>
  <w:num w:numId="4" w16cid:durableId="13895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DD"/>
    <w:rsid w:val="00031CAE"/>
    <w:rsid w:val="00036963"/>
    <w:rsid w:val="00447B58"/>
    <w:rsid w:val="005237F3"/>
    <w:rsid w:val="00724FDD"/>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E9DD"/>
  <w15:chartTrackingRefBased/>
  <w15:docId w15:val="{1E1F964C-0800-496A-92D0-24F0C670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F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F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F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FDD"/>
    <w:rPr>
      <w:rFonts w:eastAsiaTheme="majorEastAsia" w:cstheme="majorBidi"/>
      <w:color w:val="272727" w:themeColor="text1" w:themeTint="D8"/>
    </w:rPr>
  </w:style>
  <w:style w:type="paragraph" w:styleId="Title">
    <w:name w:val="Title"/>
    <w:basedOn w:val="Normal"/>
    <w:next w:val="Normal"/>
    <w:link w:val="TitleChar"/>
    <w:uiPriority w:val="10"/>
    <w:qFormat/>
    <w:rsid w:val="00724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FDD"/>
    <w:pPr>
      <w:spacing w:before="160"/>
      <w:jc w:val="center"/>
    </w:pPr>
    <w:rPr>
      <w:i/>
      <w:iCs/>
      <w:color w:val="404040" w:themeColor="text1" w:themeTint="BF"/>
    </w:rPr>
  </w:style>
  <w:style w:type="character" w:customStyle="1" w:styleId="QuoteChar">
    <w:name w:val="Quote Char"/>
    <w:basedOn w:val="DefaultParagraphFont"/>
    <w:link w:val="Quote"/>
    <w:uiPriority w:val="29"/>
    <w:rsid w:val="00724FDD"/>
    <w:rPr>
      <w:i/>
      <w:iCs/>
      <w:color w:val="404040" w:themeColor="text1" w:themeTint="BF"/>
    </w:rPr>
  </w:style>
  <w:style w:type="paragraph" w:styleId="ListParagraph">
    <w:name w:val="List Paragraph"/>
    <w:basedOn w:val="Normal"/>
    <w:uiPriority w:val="34"/>
    <w:qFormat/>
    <w:rsid w:val="00724FDD"/>
    <w:pPr>
      <w:ind w:left="720"/>
      <w:contextualSpacing/>
    </w:pPr>
  </w:style>
  <w:style w:type="character" w:styleId="IntenseEmphasis">
    <w:name w:val="Intense Emphasis"/>
    <w:basedOn w:val="DefaultParagraphFont"/>
    <w:uiPriority w:val="21"/>
    <w:qFormat/>
    <w:rsid w:val="00724FDD"/>
    <w:rPr>
      <w:i/>
      <w:iCs/>
      <w:color w:val="2F5496" w:themeColor="accent1" w:themeShade="BF"/>
    </w:rPr>
  </w:style>
  <w:style w:type="paragraph" w:styleId="IntenseQuote">
    <w:name w:val="Intense Quote"/>
    <w:basedOn w:val="Normal"/>
    <w:next w:val="Normal"/>
    <w:link w:val="IntenseQuoteChar"/>
    <w:uiPriority w:val="30"/>
    <w:qFormat/>
    <w:rsid w:val="00724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FDD"/>
    <w:rPr>
      <w:i/>
      <w:iCs/>
      <w:color w:val="2F5496" w:themeColor="accent1" w:themeShade="BF"/>
    </w:rPr>
  </w:style>
  <w:style w:type="character" w:styleId="IntenseReference">
    <w:name w:val="Intense Reference"/>
    <w:basedOn w:val="DefaultParagraphFont"/>
    <w:uiPriority w:val="32"/>
    <w:qFormat/>
    <w:rsid w:val="00724FDD"/>
    <w:rPr>
      <w:b/>
      <w:bCs/>
      <w:smallCaps/>
      <w:color w:val="2F5496" w:themeColor="accent1" w:themeShade="BF"/>
      <w:spacing w:val="5"/>
    </w:rPr>
  </w:style>
  <w:style w:type="character" w:styleId="Hyperlink">
    <w:name w:val="Hyperlink"/>
    <w:basedOn w:val="DefaultParagraphFont"/>
    <w:uiPriority w:val="99"/>
    <w:unhideWhenUsed/>
    <w:rsid w:val="00724FDD"/>
    <w:rPr>
      <w:color w:val="0563C1" w:themeColor="hyperlink"/>
      <w:u w:val="single"/>
    </w:rPr>
  </w:style>
  <w:style w:type="character" w:styleId="UnresolvedMention">
    <w:name w:val="Unresolved Mention"/>
    <w:basedOn w:val="DefaultParagraphFont"/>
    <w:uiPriority w:val="99"/>
    <w:semiHidden/>
    <w:unhideWhenUsed/>
    <w:rsid w:val="0072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2025-10-27T05:33:00Z</dcterms:created>
  <dcterms:modified xsi:type="dcterms:W3CDTF">2025-10-27T05:37:00Z</dcterms:modified>
</cp:coreProperties>
</file>