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B99D" w14:textId="77777777" w:rsidR="00EE24D1" w:rsidRPr="00EE24D1" w:rsidRDefault="00EE24D1" w:rsidP="00EE24D1">
      <w:r w:rsidRPr="00EE24D1">
        <w:rPr>
          <w:b/>
          <w:bCs/>
        </w:rPr>
        <w:t>To</w:t>
      </w:r>
    </w:p>
    <w:p w14:paraId="75F568B1" w14:textId="77777777" w:rsidR="00EE24D1" w:rsidRPr="00EE24D1" w:rsidRDefault="00EE24D1" w:rsidP="00EE24D1">
      <w:r w:rsidRPr="00EE24D1">
        <w:t>The Proper Officer</w:t>
      </w:r>
    </w:p>
    <w:p w14:paraId="62BE3207" w14:textId="77777777" w:rsidR="00EE24D1" w:rsidRPr="00EE24D1" w:rsidRDefault="00EE24D1" w:rsidP="00EE24D1">
      <w:r w:rsidRPr="00EE24D1">
        <w:t>-------------------------------</w:t>
      </w:r>
    </w:p>
    <w:p w14:paraId="35922DC1" w14:textId="77777777" w:rsidR="00EE24D1" w:rsidRPr="00EE24D1" w:rsidRDefault="00EE24D1" w:rsidP="00EE24D1">
      <w:r w:rsidRPr="00EE24D1">
        <w:t>------------------------------</w:t>
      </w:r>
    </w:p>
    <w:p w14:paraId="43F21E94" w14:textId="77777777" w:rsidR="00EE24D1" w:rsidRPr="00EE24D1" w:rsidRDefault="00EE24D1" w:rsidP="00EE24D1">
      <w:r w:rsidRPr="00EE24D1">
        <w:t>----------------------------</w:t>
      </w:r>
    </w:p>
    <w:p w14:paraId="3A8BE8F6" w14:textId="77777777" w:rsidR="00EE24D1" w:rsidRPr="00EE24D1" w:rsidRDefault="00EE24D1" w:rsidP="00EE24D1">
      <w:r w:rsidRPr="00EE24D1">
        <w:rPr>
          <w:b/>
          <w:bCs/>
        </w:rPr>
        <w:t>Subject:</w:t>
      </w:r>
      <w:r w:rsidRPr="00EE24D1">
        <w:t> Reply to Notice Issued under Section 74 for GST on Royalty – Matter Falls under Section 73</w:t>
      </w:r>
    </w:p>
    <w:p w14:paraId="2474ED00" w14:textId="77777777" w:rsidR="00EE24D1" w:rsidRPr="00EE24D1" w:rsidRDefault="00EE24D1" w:rsidP="00EE24D1">
      <w:r w:rsidRPr="00EE24D1">
        <w:rPr>
          <w:b/>
          <w:bCs/>
        </w:rPr>
        <w:t>Respected Sir,</w:t>
      </w:r>
    </w:p>
    <w:p w14:paraId="34B4E55A" w14:textId="6872164F" w:rsidR="00EE24D1" w:rsidRPr="00EE24D1" w:rsidRDefault="00EE24D1" w:rsidP="00EE24D1">
      <w:r w:rsidRPr="00EE24D1">
        <w:t>I am in receipt of the notice issued under </w:t>
      </w:r>
      <w:r w:rsidRPr="00EE24D1">
        <w:rPr>
          <w:b/>
          <w:bCs/>
        </w:rPr>
        <w:t>Section 74</w:t>
      </w:r>
      <w:r w:rsidRPr="00EE24D1">
        <w:t xml:space="preserve"> of the Central Goods and Services Tax Act, 2017 (CGST Act) with respect to the alleged short payment of GST on royalty. At the outset, I respectfully submit that the matter in question is not one of fraud, </w:t>
      </w:r>
      <w:proofErr w:type="spellStart"/>
      <w:r w:rsidRPr="00EE24D1">
        <w:t>wilful</w:t>
      </w:r>
      <w:proofErr w:type="spellEnd"/>
      <w:r w:rsidRPr="00EE24D1">
        <w:t xml:space="preserve"> misstatement, or suppression of facts, which are essential conditions for invoking </w:t>
      </w:r>
      <w:r w:rsidRPr="00EE24D1">
        <w:rPr>
          <w:b/>
          <w:bCs/>
        </w:rPr>
        <w:t>Section 74</w:t>
      </w:r>
      <w:r w:rsidRPr="00EE24D1">
        <w:t>. Instead, it falls under the purview of </w:t>
      </w:r>
      <w:r w:rsidRPr="00EE24D1">
        <w:rPr>
          <w:b/>
          <w:bCs/>
        </w:rPr>
        <w:t>Section 73</w:t>
      </w:r>
      <w:r w:rsidRPr="00EE24D1">
        <w:t> of the CGST Act, which deals with cases where tax is not paid or is short paid due to inadvertent reasons, without any fraudulent intent.</w:t>
      </w:r>
    </w:p>
    <w:p w14:paraId="1ACF8B0F" w14:textId="77777777" w:rsidR="00EE24D1" w:rsidRPr="00EE24D1" w:rsidRDefault="00EE24D1" w:rsidP="00EE24D1">
      <w:r w:rsidRPr="00EE24D1">
        <w:rPr>
          <w:b/>
          <w:bCs/>
        </w:rPr>
        <w:t xml:space="preserve">1. No Element of Fraud, </w:t>
      </w:r>
      <w:proofErr w:type="spellStart"/>
      <w:r w:rsidRPr="00EE24D1">
        <w:rPr>
          <w:b/>
          <w:bCs/>
        </w:rPr>
        <w:t>Wilful</w:t>
      </w:r>
      <w:proofErr w:type="spellEnd"/>
      <w:r w:rsidRPr="00EE24D1">
        <w:rPr>
          <w:b/>
          <w:bCs/>
        </w:rPr>
        <w:t xml:space="preserve"> Misstatement, or Suppression</w:t>
      </w:r>
    </w:p>
    <w:p w14:paraId="27167E5D" w14:textId="6D8AA35D" w:rsidR="00EE24D1" w:rsidRPr="00EE24D1" w:rsidRDefault="00EE24D1" w:rsidP="00EE24D1">
      <w:r w:rsidRPr="00EE24D1">
        <w:t>The issuance of a notice under </w:t>
      </w:r>
      <w:r w:rsidRPr="00EE24D1">
        <w:rPr>
          <w:b/>
          <w:bCs/>
        </w:rPr>
        <w:t>Section 74</w:t>
      </w:r>
      <w:r w:rsidRPr="00EE24D1">
        <w:t xml:space="preserve"> requires the presence of fraud, </w:t>
      </w:r>
      <w:proofErr w:type="spellStart"/>
      <w:r w:rsidRPr="00EE24D1">
        <w:t>wilful</w:t>
      </w:r>
      <w:proofErr w:type="spellEnd"/>
      <w:r w:rsidRPr="00EE24D1">
        <w:t xml:space="preserve"> misstatement, or suppression of facts. In the present case, the alleged liability on royalty has arisen due to interpretational issues and is already a subject of judicial deliberation. There has been no deliberate attempt on our part to evade tax, nor has there been any misrepresentation of facts in our filings.</w:t>
      </w:r>
    </w:p>
    <w:p w14:paraId="24FA8D4E" w14:textId="3E7D0FC9" w:rsidR="00EE24D1" w:rsidRPr="00EE24D1" w:rsidRDefault="00EE24D1" w:rsidP="00EE24D1">
      <w:r w:rsidRPr="00EE24D1">
        <w:rPr>
          <w:b/>
          <w:bCs/>
        </w:rPr>
        <w:t>2. Applicability of Section 73 over Section 74</w:t>
      </w:r>
    </w:p>
    <w:p w14:paraId="3B0BA2CE" w14:textId="311BC6B9" w:rsidR="00EE24D1" w:rsidRPr="00EE24D1" w:rsidRDefault="00EE24D1" w:rsidP="00EE24D1">
      <w:r w:rsidRPr="00EE24D1">
        <w:t>As per the provisions of the CGST Act, </w:t>
      </w:r>
      <w:r w:rsidRPr="00EE24D1">
        <w:rPr>
          <w:b/>
          <w:bCs/>
        </w:rPr>
        <w:t>Section 73</w:t>
      </w:r>
      <w:r w:rsidRPr="00EE24D1">
        <w:t> is applicable in cases where the tax has not been paid or short paid without any fraudulent intent. Given that our case involves the applicability and valuation of GST on royalty, without any element of fraud or suppression, the notice should have been issued under </w:t>
      </w:r>
      <w:r w:rsidRPr="00EE24D1">
        <w:rPr>
          <w:b/>
          <w:bCs/>
        </w:rPr>
        <w:t>Section 73</w:t>
      </w:r>
      <w:r w:rsidRPr="00EE24D1">
        <w:t> instead of </w:t>
      </w:r>
      <w:r w:rsidRPr="00EE24D1">
        <w:rPr>
          <w:b/>
          <w:bCs/>
        </w:rPr>
        <w:t>Section 74</w:t>
      </w:r>
      <w:r w:rsidRPr="00EE24D1">
        <w:t>.</w:t>
      </w:r>
    </w:p>
    <w:p w14:paraId="48719EE3" w14:textId="77777777" w:rsidR="00EE24D1" w:rsidRPr="00EE24D1" w:rsidRDefault="00EE24D1" w:rsidP="00EE24D1">
      <w:r w:rsidRPr="00EE24D1">
        <w:rPr>
          <w:b/>
          <w:bCs/>
        </w:rPr>
        <w:t>3. Request for Reconsideration and Reclassification</w:t>
      </w:r>
    </w:p>
    <w:p w14:paraId="49E95370" w14:textId="12E0F7CB" w:rsidR="00EE24D1" w:rsidRPr="00EE24D1" w:rsidRDefault="00EE24D1" w:rsidP="00EE24D1">
      <w:r w:rsidRPr="00EE24D1">
        <w:t>In light of the above, we kindly request your good office to reconsider the invocation of </w:t>
      </w:r>
      <w:r w:rsidRPr="00EE24D1">
        <w:rPr>
          <w:b/>
          <w:bCs/>
        </w:rPr>
        <w:t>Section 74</w:t>
      </w:r>
      <w:r w:rsidRPr="00EE24D1">
        <w:t> and appropriately reclassify the proceedings under </w:t>
      </w:r>
      <w:r w:rsidRPr="00EE24D1">
        <w:rPr>
          <w:b/>
          <w:bCs/>
        </w:rPr>
        <w:t>Section 73</w:t>
      </w:r>
      <w:r w:rsidRPr="00EE24D1">
        <w:t>. This will allow for the correct application of interest and penalty provisions as per law.</w:t>
      </w:r>
    </w:p>
    <w:p w14:paraId="1732DBE3" w14:textId="77777777" w:rsidR="00EE24D1" w:rsidRPr="00EE24D1" w:rsidRDefault="00EE24D1" w:rsidP="00EE24D1">
      <w:r w:rsidRPr="00EE24D1">
        <w:rPr>
          <w:b/>
          <w:bCs/>
        </w:rPr>
        <w:t>4. Compliance and Tax Payment, if Applicable</w:t>
      </w:r>
    </w:p>
    <w:p w14:paraId="152A5208" w14:textId="4FE67483" w:rsidR="00EE24D1" w:rsidRPr="00EE24D1" w:rsidRDefault="00EE24D1" w:rsidP="00EE24D1">
      <w:r w:rsidRPr="00EE24D1">
        <w:lastRenderedPageBreak/>
        <w:t>We are fully committed to complying with GST laws and, if any tax liability is determined under the correct legal provision, we are prepared to discharge the same along with applicable interest under </w:t>
      </w:r>
      <w:r w:rsidRPr="00EE24D1">
        <w:rPr>
          <w:b/>
          <w:bCs/>
        </w:rPr>
        <w:t>Section 73</w:t>
      </w:r>
      <w:r w:rsidRPr="00EE24D1">
        <w:t>. However, the higher penalty and extended limitation period under </w:t>
      </w:r>
      <w:r w:rsidRPr="00EE24D1">
        <w:rPr>
          <w:b/>
          <w:bCs/>
        </w:rPr>
        <w:t>Section 74</w:t>
      </w:r>
      <w:r w:rsidRPr="00EE24D1">
        <w:t> should not be applied in the absence of any fraudulent intention or suppression.</w:t>
      </w:r>
    </w:p>
    <w:p w14:paraId="1399CA16" w14:textId="57B34070" w:rsidR="00EE24D1" w:rsidRPr="00EE24D1" w:rsidRDefault="00EE24D1" w:rsidP="00EE24D1">
      <w:r w:rsidRPr="00EE24D1">
        <w:t>We request you to kindly consider our submission and reclassify the matter under </w:t>
      </w:r>
      <w:r w:rsidRPr="00EE24D1">
        <w:rPr>
          <w:b/>
          <w:bCs/>
        </w:rPr>
        <w:t>Section 73</w:t>
      </w:r>
      <w:r w:rsidRPr="00EE24D1">
        <w:t>. We are available for any further clarifications and look forward to your positive consideration.</w:t>
      </w:r>
    </w:p>
    <w:p w14:paraId="0DEA64EB" w14:textId="77777777" w:rsidR="00EE24D1" w:rsidRPr="00EE24D1" w:rsidRDefault="00EE24D1" w:rsidP="00EE24D1">
      <w:r w:rsidRPr="00EE24D1">
        <w:rPr>
          <w:b/>
          <w:bCs/>
        </w:rPr>
        <w:t>Thanking you,</w:t>
      </w:r>
    </w:p>
    <w:p w14:paraId="742E4450" w14:textId="77777777" w:rsidR="00EE24D1" w:rsidRPr="00EE24D1" w:rsidRDefault="00EE24D1" w:rsidP="00EE24D1">
      <w:r w:rsidRPr="00EE24D1">
        <w:t>Yours faithfully,</w:t>
      </w:r>
    </w:p>
    <w:p w14:paraId="52A451F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D1"/>
    <w:rsid w:val="00031CAE"/>
    <w:rsid w:val="00447B58"/>
    <w:rsid w:val="005237F3"/>
    <w:rsid w:val="00836166"/>
    <w:rsid w:val="00E949B8"/>
    <w:rsid w:val="00EE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9137"/>
  <w15:chartTrackingRefBased/>
  <w15:docId w15:val="{8615C3FE-2D76-48B3-8704-444F65C8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2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24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4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24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2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4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24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24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4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4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4D1"/>
    <w:rPr>
      <w:rFonts w:eastAsiaTheme="majorEastAsia" w:cstheme="majorBidi"/>
      <w:color w:val="272727" w:themeColor="text1" w:themeTint="D8"/>
    </w:rPr>
  </w:style>
  <w:style w:type="paragraph" w:styleId="Title">
    <w:name w:val="Title"/>
    <w:basedOn w:val="Normal"/>
    <w:next w:val="Normal"/>
    <w:link w:val="TitleChar"/>
    <w:uiPriority w:val="10"/>
    <w:qFormat/>
    <w:rsid w:val="00EE2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4D1"/>
    <w:pPr>
      <w:spacing w:before="160"/>
      <w:jc w:val="center"/>
    </w:pPr>
    <w:rPr>
      <w:i/>
      <w:iCs/>
      <w:color w:val="404040" w:themeColor="text1" w:themeTint="BF"/>
    </w:rPr>
  </w:style>
  <w:style w:type="character" w:customStyle="1" w:styleId="QuoteChar">
    <w:name w:val="Quote Char"/>
    <w:basedOn w:val="DefaultParagraphFont"/>
    <w:link w:val="Quote"/>
    <w:uiPriority w:val="29"/>
    <w:rsid w:val="00EE24D1"/>
    <w:rPr>
      <w:i/>
      <w:iCs/>
      <w:color w:val="404040" w:themeColor="text1" w:themeTint="BF"/>
    </w:rPr>
  </w:style>
  <w:style w:type="paragraph" w:styleId="ListParagraph">
    <w:name w:val="List Paragraph"/>
    <w:basedOn w:val="Normal"/>
    <w:uiPriority w:val="34"/>
    <w:qFormat/>
    <w:rsid w:val="00EE24D1"/>
    <w:pPr>
      <w:ind w:left="720"/>
      <w:contextualSpacing/>
    </w:pPr>
  </w:style>
  <w:style w:type="character" w:styleId="IntenseEmphasis">
    <w:name w:val="Intense Emphasis"/>
    <w:basedOn w:val="DefaultParagraphFont"/>
    <w:uiPriority w:val="21"/>
    <w:qFormat/>
    <w:rsid w:val="00EE24D1"/>
    <w:rPr>
      <w:i/>
      <w:iCs/>
      <w:color w:val="2F5496" w:themeColor="accent1" w:themeShade="BF"/>
    </w:rPr>
  </w:style>
  <w:style w:type="paragraph" w:styleId="IntenseQuote">
    <w:name w:val="Intense Quote"/>
    <w:basedOn w:val="Normal"/>
    <w:next w:val="Normal"/>
    <w:link w:val="IntenseQuoteChar"/>
    <w:uiPriority w:val="30"/>
    <w:qFormat/>
    <w:rsid w:val="00EE2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4D1"/>
    <w:rPr>
      <w:i/>
      <w:iCs/>
      <w:color w:val="2F5496" w:themeColor="accent1" w:themeShade="BF"/>
    </w:rPr>
  </w:style>
  <w:style w:type="character" w:styleId="IntenseReference">
    <w:name w:val="Intense Reference"/>
    <w:basedOn w:val="DefaultParagraphFont"/>
    <w:uiPriority w:val="32"/>
    <w:qFormat/>
    <w:rsid w:val="00EE24D1"/>
    <w:rPr>
      <w:b/>
      <w:bCs/>
      <w:smallCaps/>
      <w:color w:val="2F5496" w:themeColor="accent1" w:themeShade="BF"/>
      <w:spacing w:val="5"/>
    </w:rPr>
  </w:style>
  <w:style w:type="character" w:styleId="Hyperlink">
    <w:name w:val="Hyperlink"/>
    <w:basedOn w:val="DefaultParagraphFont"/>
    <w:uiPriority w:val="99"/>
    <w:unhideWhenUsed/>
    <w:rsid w:val="00EE24D1"/>
    <w:rPr>
      <w:color w:val="0563C1" w:themeColor="hyperlink"/>
      <w:u w:val="single"/>
    </w:rPr>
  </w:style>
  <w:style w:type="character" w:styleId="UnresolvedMention">
    <w:name w:val="Unresolved Mention"/>
    <w:basedOn w:val="DefaultParagraphFont"/>
    <w:uiPriority w:val="99"/>
    <w:semiHidden/>
    <w:unhideWhenUsed/>
    <w:rsid w:val="00EE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2025-10-27T08:36:00Z</dcterms:created>
  <dcterms:modified xsi:type="dcterms:W3CDTF">2025-10-27T08:38:00Z</dcterms:modified>
</cp:coreProperties>
</file>