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AC55" w14:textId="77777777" w:rsidR="00FF2200" w:rsidRPr="00FF2200" w:rsidRDefault="00FF2200" w:rsidP="00FF2200">
      <w:r w:rsidRPr="00FF2200">
        <w:t>[Date]</w:t>
      </w:r>
    </w:p>
    <w:p w14:paraId="25EE1B7D" w14:textId="77777777" w:rsidR="00FF2200" w:rsidRPr="00FF2200" w:rsidRDefault="00FF2200" w:rsidP="00FF2200">
      <w:r w:rsidRPr="00FF2200">
        <w:t>To,</w:t>
      </w:r>
    </w:p>
    <w:p w14:paraId="3AA13F63" w14:textId="77777777" w:rsidR="00FF2200" w:rsidRPr="00FF2200" w:rsidRDefault="00FF2200" w:rsidP="00FF2200">
      <w:r w:rsidRPr="00FF2200">
        <w:t>The Proper Officer,</w:t>
      </w:r>
    </w:p>
    <w:p w14:paraId="57097C8D" w14:textId="77777777" w:rsidR="00FF2200" w:rsidRPr="00FF2200" w:rsidRDefault="00FF2200" w:rsidP="00FF2200">
      <w:r w:rsidRPr="00FF2200">
        <w:t>[Jurisdictional GST Office Address]</w:t>
      </w:r>
    </w:p>
    <w:p w14:paraId="21FC00EB" w14:textId="77777777" w:rsidR="00FF2200" w:rsidRPr="00FF2200" w:rsidRDefault="00FF2200" w:rsidP="00FF2200">
      <w:r w:rsidRPr="00FF2200">
        <w:rPr>
          <w:b/>
          <w:bCs/>
        </w:rPr>
        <w:t>Subject:</w:t>
      </w:r>
      <w:r w:rsidRPr="00FF2200">
        <w:t> Request for Non-Levy of Interest on Excess ITC Claimed but Unutilized under Section 50 of the CGST Act, 2017</w:t>
      </w:r>
    </w:p>
    <w:p w14:paraId="5BBC0D16" w14:textId="77777777" w:rsidR="00FF2200" w:rsidRPr="00FF2200" w:rsidRDefault="00FF2200" w:rsidP="00FF2200">
      <w:r w:rsidRPr="00FF2200">
        <w:rPr>
          <w:b/>
          <w:bCs/>
        </w:rPr>
        <w:t>Respected Sir/Madam,</w:t>
      </w:r>
    </w:p>
    <w:p w14:paraId="584EFD67" w14:textId="35EF0843" w:rsidR="00FF2200" w:rsidRPr="00FF2200" w:rsidRDefault="00FF2200" w:rsidP="00FF2200">
      <w:r w:rsidRPr="00FF2200">
        <w:t>This is in reference to the notice/order dated ------------- issued to us for the payment of interest on excess Input Tax Credit (ITC) claimed in GST return, e.g., </w:t>
      </w:r>
      <w:r w:rsidRPr="00FF2200">
        <w:rPr>
          <w:b/>
          <w:bCs/>
        </w:rPr>
        <w:t>GSTR-3B</w:t>
      </w:r>
      <w:r w:rsidRPr="00FF2200">
        <w:t> for the period -------------.</w:t>
      </w:r>
    </w:p>
    <w:p w14:paraId="695C2E49" w14:textId="77777777" w:rsidR="00FF2200" w:rsidRPr="00FF2200" w:rsidRDefault="00FF2200" w:rsidP="00FF2200">
      <w:r w:rsidRPr="00FF2200">
        <w:t>We wish to respectfully submit that although an excess amount of ITC was inadvertently claimed in our return for the said period, the same was never utilized for discharging tax liability. The entire amount of excess ITC has remained in the electronic credit ledger and has not been used for payment of output tax.</w:t>
      </w:r>
    </w:p>
    <w:p w14:paraId="10688682" w14:textId="77777777" w:rsidR="00FF2200" w:rsidRPr="00FF2200" w:rsidRDefault="00FF2200" w:rsidP="00FF2200">
      <w:r w:rsidRPr="00FF2200">
        <w:rPr>
          <w:b/>
          <w:bCs/>
        </w:rPr>
        <w:t>Legal Provisions</w:t>
      </w:r>
    </w:p>
    <w:p w14:paraId="14FCD07E" w14:textId="6651515C" w:rsidR="00FF2200" w:rsidRPr="00FF2200" w:rsidRDefault="00FF2200" w:rsidP="00FF2200">
      <w:r w:rsidRPr="00FF2200">
        <w:t>As per </w:t>
      </w:r>
      <w:r w:rsidRPr="00FF2200">
        <w:rPr>
          <w:b/>
          <w:bCs/>
        </w:rPr>
        <w:t>Section 50 of the CGST Act, 2017</w:t>
      </w:r>
      <w:r w:rsidRPr="00FF2200">
        <w:t>, interest is applicable only on the amount of tax that remains unpaid beyond the due date. This provision has been clarified and upheld in various instances, and the Central Board of Indirect Taxes and Customs (CBIC) has also issued clarifications on this matter:</w:t>
      </w:r>
    </w:p>
    <w:p w14:paraId="41D72C25" w14:textId="3040DB98" w:rsidR="00FF2200" w:rsidRPr="00FF2200" w:rsidRDefault="00FF2200" w:rsidP="00FF2200">
      <w:pPr>
        <w:numPr>
          <w:ilvl w:val="0"/>
          <w:numId w:val="1"/>
        </w:numPr>
      </w:pPr>
      <w:r w:rsidRPr="00FF2200">
        <w:rPr>
          <w:b/>
          <w:bCs/>
        </w:rPr>
        <w:t>CBIC Notification No. 63/2020 – Central Tax, dated 25th August 2020</w:t>
      </w:r>
      <w:r w:rsidRPr="00FF2200">
        <w:t>, clarified that interest is payable only on the net tax liability, i.e., the tax paid in cash, and not on the ITC available in the credit ledger.</w:t>
      </w:r>
    </w:p>
    <w:p w14:paraId="76C54E05" w14:textId="57AC5E48" w:rsidR="00FF2200" w:rsidRPr="00FF2200" w:rsidRDefault="00FF2200" w:rsidP="00FF2200">
      <w:pPr>
        <w:numPr>
          <w:ilvl w:val="0"/>
          <w:numId w:val="1"/>
        </w:numPr>
      </w:pPr>
      <w:r w:rsidRPr="00FF2200">
        <w:rPr>
          <w:b/>
          <w:bCs/>
        </w:rPr>
        <w:t>Amendment to Section 50 (via Finance Act, 2019)</w:t>
      </w:r>
      <w:r w:rsidRPr="00FF2200">
        <w:t> has inserted a proviso that explicitly provides that interest shall apply only where the tax liability is discharged through cash and not where ITC remains unutilized.</w:t>
      </w:r>
    </w:p>
    <w:p w14:paraId="0A4F1A12" w14:textId="77777777" w:rsidR="00FF2200" w:rsidRPr="00FF2200" w:rsidRDefault="00FF2200" w:rsidP="00FF2200">
      <w:r w:rsidRPr="00FF2200">
        <w:t>Furthermore, in the case of </w:t>
      </w:r>
      <w:r w:rsidRPr="00FF2200">
        <w:rPr>
          <w:b/>
          <w:bCs/>
        </w:rPr>
        <w:t>M/s Commercial Steel Engineering Corporation v. State of Bihar [2022]</w:t>
      </w:r>
      <w:r w:rsidRPr="00FF2200">
        <w:t>, the Hon`ble High Court held that interest cannot be levied on unutilized ITC.</w:t>
      </w:r>
    </w:p>
    <w:p w14:paraId="17A7C895" w14:textId="77777777" w:rsidR="00FF2200" w:rsidRPr="00FF2200" w:rsidRDefault="00FF2200" w:rsidP="00FF2200">
      <w:r w:rsidRPr="00FF2200">
        <w:rPr>
          <w:b/>
          <w:bCs/>
        </w:rPr>
        <w:t>Case Laws</w:t>
      </w:r>
    </w:p>
    <w:p w14:paraId="1AC6BDC5" w14:textId="0D3BF500" w:rsidR="00FF2200" w:rsidRPr="00FF2200" w:rsidRDefault="00FF2200" w:rsidP="00FF2200">
      <w:pPr>
        <w:numPr>
          <w:ilvl w:val="0"/>
          <w:numId w:val="2"/>
        </w:numPr>
      </w:pPr>
      <w:r w:rsidRPr="00FF2200">
        <w:t>Greenstar Fertilizers Limited</w:t>
      </w:r>
      <w:r w:rsidRPr="00FF2200">
        <w:rPr>
          <w:b/>
          <w:bCs/>
        </w:rPr>
        <w:t> (Madras)</w:t>
      </w:r>
    </w:p>
    <w:p w14:paraId="556AE689" w14:textId="2D5D420D" w:rsidR="00FF2200" w:rsidRPr="00FF2200" w:rsidRDefault="00FF2200" w:rsidP="00FF2200">
      <w:pPr>
        <w:numPr>
          <w:ilvl w:val="0"/>
          <w:numId w:val="2"/>
        </w:numPr>
      </w:pPr>
      <w:r w:rsidRPr="00FF2200">
        <w:t>Deepak Sales Corporation </w:t>
      </w:r>
      <w:r w:rsidRPr="00FF2200">
        <w:rPr>
          <w:b/>
          <w:bCs/>
        </w:rPr>
        <w:t>(P&amp;H)</w:t>
      </w:r>
    </w:p>
    <w:p w14:paraId="011B09EA" w14:textId="35DDBCE1" w:rsidR="00FF2200" w:rsidRPr="00FF2200" w:rsidRDefault="00FF2200" w:rsidP="00FF2200">
      <w:pPr>
        <w:numPr>
          <w:ilvl w:val="0"/>
          <w:numId w:val="2"/>
        </w:numPr>
      </w:pPr>
      <w:r w:rsidRPr="00FF2200">
        <w:t xml:space="preserve">Aathi </w:t>
      </w:r>
      <w:proofErr w:type="gramStart"/>
      <w:r w:rsidRPr="00FF2200">
        <w:t>Hotel </w:t>
      </w:r>
      <w:r w:rsidRPr="00FF2200">
        <w:rPr>
          <w:b/>
          <w:bCs/>
        </w:rPr>
        <w:t xml:space="preserve"> (</w:t>
      </w:r>
      <w:proofErr w:type="gramEnd"/>
      <w:r w:rsidRPr="00FF2200">
        <w:rPr>
          <w:b/>
          <w:bCs/>
        </w:rPr>
        <w:t>Madras)</w:t>
      </w:r>
    </w:p>
    <w:p w14:paraId="0557F7F4" w14:textId="22BD58CC" w:rsidR="00FF2200" w:rsidRPr="00FF2200" w:rsidRDefault="00FF2200" w:rsidP="00FF2200">
      <w:pPr>
        <w:numPr>
          <w:ilvl w:val="0"/>
          <w:numId w:val="2"/>
        </w:numPr>
      </w:pPr>
      <w:proofErr w:type="spellStart"/>
      <w:r w:rsidRPr="00FF2200">
        <w:lastRenderedPageBreak/>
        <w:t>Tvl</w:t>
      </w:r>
      <w:proofErr w:type="spellEnd"/>
      <w:r w:rsidRPr="00FF2200">
        <w:t>. Kumaran Filaments (P) Ltd. </w:t>
      </w:r>
      <w:r w:rsidRPr="00FF2200">
        <w:rPr>
          <w:b/>
          <w:bCs/>
        </w:rPr>
        <w:t xml:space="preserve"> (Madras)</w:t>
      </w:r>
    </w:p>
    <w:p w14:paraId="1AD009FC" w14:textId="2AF63203" w:rsidR="00FF2200" w:rsidRPr="00FF2200" w:rsidRDefault="00FF2200" w:rsidP="00FF2200">
      <w:pPr>
        <w:numPr>
          <w:ilvl w:val="0"/>
          <w:numId w:val="2"/>
        </w:numPr>
      </w:pPr>
      <w:r w:rsidRPr="00FF2200">
        <w:t>Commercial Steel Engineering Corporation </w:t>
      </w:r>
      <w:r w:rsidRPr="00FF2200">
        <w:rPr>
          <w:b/>
          <w:bCs/>
        </w:rPr>
        <w:t xml:space="preserve"> (Patna)</w:t>
      </w:r>
    </w:p>
    <w:p w14:paraId="3A1BCC51" w14:textId="77777777" w:rsidR="00FF2200" w:rsidRPr="00FF2200" w:rsidRDefault="00FF2200" w:rsidP="00FF2200">
      <w:r w:rsidRPr="00FF2200">
        <w:t>Given the above, we submit that no interest is payable on the excess ITC claimed in our return because:</w:t>
      </w:r>
    </w:p>
    <w:p w14:paraId="577A09B7" w14:textId="77777777" w:rsidR="00FF2200" w:rsidRPr="00FF2200" w:rsidRDefault="00FF2200" w:rsidP="00FF2200">
      <w:pPr>
        <w:numPr>
          <w:ilvl w:val="0"/>
          <w:numId w:val="3"/>
        </w:numPr>
      </w:pPr>
      <w:r w:rsidRPr="00FF2200">
        <w:t>The excess ITC was never utilized for payment of tax liability.</w:t>
      </w:r>
    </w:p>
    <w:p w14:paraId="7FD3A22B" w14:textId="77777777" w:rsidR="00FF2200" w:rsidRPr="00FF2200" w:rsidRDefault="00FF2200" w:rsidP="00FF2200">
      <w:pPr>
        <w:numPr>
          <w:ilvl w:val="0"/>
          <w:numId w:val="3"/>
        </w:numPr>
      </w:pPr>
      <w:r w:rsidRPr="00FF2200">
        <w:t>The amount has remained in our electronic credit ledger throughout the relevant period.</w:t>
      </w:r>
    </w:p>
    <w:p w14:paraId="75015303" w14:textId="77777777" w:rsidR="00FF2200" w:rsidRPr="00FF2200" w:rsidRDefault="00FF2200" w:rsidP="00FF2200">
      <w:pPr>
        <w:numPr>
          <w:ilvl w:val="0"/>
          <w:numId w:val="3"/>
        </w:numPr>
      </w:pPr>
      <w:r w:rsidRPr="00FF2200">
        <w:t>There has been no loss to the revenue as no undue financial benefit was availed.</w:t>
      </w:r>
    </w:p>
    <w:p w14:paraId="4EDAA2FC" w14:textId="77777777" w:rsidR="00FF2200" w:rsidRPr="00FF2200" w:rsidRDefault="00FF2200" w:rsidP="00FF2200">
      <w:r w:rsidRPr="00FF2200">
        <w:rPr>
          <w:b/>
          <w:bCs/>
        </w:rPr>
        <w:t>Prayer</w:t>
      </w:r>
    </w:p>
    <w:p w14:paraId="34AB71FE" w14:textId="77777777" w:rsidR="00FF2200" w:rsidRPr="00FF2200" w:rsidRDefault="00FF2200" w:rsidP="00FF2200">
      <w:r w:rsidRPr="00FF2200">
        <w:t>We, therefore, humbly request your good office to:</w:t>
      </w:r>
    </w:p>
    <w:p w14:paraId="3040EBF3" w14:textId="77777777" w:rsidR="00FF2200" w:rsidRPr="00FF2200" w:rsidRDefault="00FF2200" w:rsidP="00FF2200">
      <w:pPr>
        <w:numPr>
          <w:ilvl w:val="0"/>
          <w:numId w:val="4"/>
        </w:numPr>
      </w:pPr>
      <w:r w:rsidRPr="00FF2200">
        <w:t>Reconsider the interest demand made in the notice/order dated [insert date].</w:t>
      </w:r>
    </w:p>
    <w:p w14:paraId="45A8987A" w14:textId="7752A7FF" w:rsidR="00FF2200" w:rsidRPr="00FF2200" w:rsidRDefault="00FF2200" w:rsidP="00FF2200">
      <w:pPr>
        <w:numPr>
          <w:ilvl w:val="0"/>
          <w:numId w:val="4"/>
        </w:numPr>
      </w:pPr>
      <w:r w:rsidRPr="00FF2200">
        <w:t>Waive the interest liability, if any, in line with the provisions of </w:t>
      </w:r>
      <w:r w:rsidRPr="00FF2200">
        <w:rPr>
          <w:b/>
          <w:bCs/>
        </w:rPr>
        <w:t>Section 50</w:t>
      </w:r>
      <w:r w:rsidRPr="00FF2200">
        <w:t> of the CGST Act, 2017, and the clarifications issued by the CBIC.</w:t>
      </w:r>
    </w:p>
    <w:p w14:paraId="6FEE59EF" w14:textId="77777777" w:rsidR="00FF2200" w:rsidRPr="00FF2200" w:rsidRDefault="00FF2200" w:rsidP="00FF2200">
      <w:r w:rsidRPr="00FF2200">
        <w:t>We assure you of our continued compliance with GST laws and are willing to provide any further clarifications or documents required in this regard.</w:t>
      </w:r>
    </w:p>
    <w:p w14:paraId="25FD08F5" w14:textId="77777777" w:rsidR="00FF2200" w:rsidRPr="00FF2200" w:rsidRDefault="00FF2200" w:rsidP="00FF2200">
      <w:r w:rsidRPr="00FF2200">
        <w:rPr>
          <w:b/>
          <w:bCs/>
        </w:rPr>
        <w:t>Thanking you,</w:t>
      </w:r>
    </w:p>
    <w:p w14:paraId="774D5E77" w14:textId="77777777" w:rsidR="00FF2200" w:rsidRPr="00FF2200" w:rsidRDefault="00FF2200" w:rsidP="00FF2200">
      <w:r w:rsidRPr="00FF2200">
        <w:t>Yours sincerely,</w:t>
      </w:r>
    </w:p>
    <w:p w14:paraId="6E2DF5A9" w14:textId="77777777" w:rsidR="00FF2200" w:rsidRPr="00FF2200" w:rsidRDefault="00FF2200" w:rsidP="00FF2200">
      <w:r w:rsidRPr="00FF2200">
        <w:t>[Authorized Signatory]</w:t>
      </w:r>
    </w:p>
    <w:p w14:paraId="4C98E3E1"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0EC8"/>
    <w:multiLevelType w:val="multilevel"/>
    <w:tmpl w:val="A376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A7751"/>
    <w:multiLevelType w:val="multilevel"/>
    <w:tmpl w:val="6BFA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414459"/>
    <w:multiLevelType w:val="multilevel"/>
    <w:tmpl w:val="8E10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6807B2"/>
    <w:multiLevelType w:val="multilevel"/>
    <w:tmpl w:val="F17E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8419119">
    <w:abstractNumId w:val="3"/>
  </w:num>
  <w:num w:numId="2" w16cid:durableId="1130200075">
    <w:abstractNumId w:val="0"/>
  </w:num>
  <w:num w:numId="3" w16cid:durableId="2044818938">
    <w:abstractNumId w:val="1"/>
  </w:num>
  <w:num w:numId="4" w16cid:durableId="2047369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00"/>
    <w:rsid w:val="00031CAE"/>
    <w:rsid w:val="00447B58"/>
    <w:rsid w:val="005237F3"/>
    <w:rsid w:val="00E9310D"/>
    <w:rsid w:val="00E949B8"/>
    <w:rsid w:val="00FF2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BBF2"/>
  <w15:chartTrackingRefBased/>
  <w15:docId w15:val="{D6AD7C87-6D4F-4A09-ABE2-05D1E511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2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2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2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2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2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2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2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2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200"/>
    <w:rPr>
      <w:rFonts w:eastAsiaTheme="majorEastAsia" w:cstheme="majorBidi"/>
      <w:color w:val="272727" w:themeColor="text1" w:themeTint="D8"/>
    </w:rPr>
  </w:style>
  <w:style w:type="paragraph" w:styleId="Title">
    <w:name w:val="Title"/>
    <w:basedOn w:val="Normal"/>
    <w:next w:val="Normal"/>
    <w:link w:val="TitleChar"/>
    <w:uiPriority w:val="10"/>
    <w:qFormat/>
    <w:rsid w:val="00FF2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200"/>
    <w:pPr>
      <w:spacing w:before="160"/>
      <w:jc w:val="center"/>
    </w:pPr>
    <w:rPr>
      <w:i/>
      <w:iCs/>
      <w:color w:val="404040" w:themeColor="text1" w:themeTint="BF"/>
    </w:rPr>
  </w:style>
  <w:style w:type="character" w:customStyle="1" w:styleId="QuoteChar">
    <w:name w:val="Quote Char"/>
    <w:basedOn w:val="DefaultParagraphFont"/>
    <w:link w:val="Quote"/>
    <w:uiPriority w:val="29"/>
    <w:rsid w:val="00FF2200"/>
    <w:rPr>
      <w:i/>
      <w:iCs/>
      <w:color w:val="404040" w:themeColor="text1" w:themeTint="BF"/>
    </w:rPr>
  </w:style>
  <w:style w:type="paragraph" w:styleId="ListParagraph">
    <w:name w:val="List Paragraph"/>
    <w:basedOn w:val="Normal"/>
    <w:uiPriority w:val="34"/>
    <w:qFormat/>
    <w:rsid w:val="00FF2200"/>
    <w:pPr>
      <w:ind w:left="720"/>
      <w:contextualSpacing/>
    </w:pPr>
  </w:style>
  <w:style w:type="character" w:styleId="IntenseEmphasis">
    <w:name w:val="Intense Emphasis"/>
    <w:basedOn w:val="DefaultParagraphFont"/>
    <w:uiPriority w:val="21"/>
    <w:qFormat/>
    <w:rsid w:val="00FF2200"/>
    <w:rPr>
      <w:i/>
      <w:iCs/>
      <w:color w:val="2F5496" w:themeColor="accent1" w:themeShade="BF"/>
    </w:rPr>
  </w:style>
  <w:style w:type="paragraph" w:styleId="IntenseQuote">
    <w:name w:val="Intense Quote"/>
    <w:basedOn w:val="Normal"/>
    <w:next w:val="Normal"/>
    <w:link w:val="IntenseQuoteChar"/>
    <w:uiPriority w:val="30"/>
    <w:qFormat/>
    <w:rsid w:val="00FF2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200"/>
    <w:rPr>
      <w:i/>
      <w:iCs/>
      <w:color w:val="2F5496" w:themeColor="accent1" w:themeShade="BF"/>
    </w:rPr>
  </w:style>
  <w:style w:type="character" w:styleId="IntenseReference">
    <w:name w:val="Intense Reference"/>
    <w:basedOn w:val="DefaultParagraphFont"/>
    <w:uiPriority w:val="32"/>
    <w:qFormat/>
    <w:rsid w:val="00FF2200"/>
    <w:rPr>
      <w:b/>
      <w:bCs/>
      <w:smallCaps/>
      <w:color w:val="2F5496" w:themeColor="accent1" w:themeShade="BF"/>
      <w:spacing w:val="5"/>
    </w:rPr>
  </w:style>
  <w:style w:type="character" w:styleId="Hyperlink">
    <w:name w:val="Hyperlink"/>
    <w:basedOn w:val="DefaultParagraphFont"/>
    <w:uiPriority w:val="99"/>
    <w:unhideWhenUsed/>
    <w:rsid w:val="00FF2200"/>
    <w:rPr>
      <w:color w:val="0563C1" w:themeColor="hyperlink"/>
      <w:u w:val="single"/>
    </w:rPr>
  </w:style>
  <w:style w:type="character" w:styleId="UnresolvedMention">
    <w:name w:val="Unresolved Mention"/>
    <w:basedOn w:val="DefaultParagraphFont"/>
    <w:uiPriority w:val="99"/>
    <w:semiHidden/>
    <w:unhideWhenUsed/>
    <w:rsid w:val="00FF2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2025-10-29T06:06:00Z</dcterms:created>
  <dcterms:modified xsi:type="dcterms:W3CDTF">2025-10-29T06:11:00Z</dcterms:modified>
</cp:coreProperties>
</file>