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1A1E4" w14:textId="77777777" w:rsidR="00CD74DF" w:rsidRPr="00CD74DF" w:rsidRDefault="00CD74DF" w:rsidP="00CD74DF">
      <w:r w:rsidRPr="00CD74DF">
        <w:rPr>
          <w:b/>
          <w:bCs/>
        </w:rPr>
        <w:t>To</w:t>
      </w:r>
      <w:r w:rsidRPr="00CD74DF">
        <w:br/>
        <w:t>The Proper Officer,</w:t>
      </w:r>
      <w:r w:rsidRPr="00CD74DF">
        <w:br/>
        <w:t>----------------------------------------</w:t>
      </w:r>
      <w:r w:rsidRPr="00CD74DF">
        <w:br/>
        <w:t>------------------------------------------</w:t>
      </w:r>
      <w:r w:rsidRPr="00CD74DF">
        <w:br/>
        <w:t>---------------------------------------</w:t>
      </w:r>
    </w:p>
    <w:p w14:paraId="34BC9DB1" w14:textId="77777777" w:rsidR="00CD74DF" w:rsidRPr="00CD74DF" w:rsidRDefault="00CD74DF" w:rsidP="00CD74DF">
      <w:r w:rsidRPr="00CD74DF">
        <w:rPr>
          <w:b/>
          <w:bCs/>
        </w:rPr>
        <w:t>Subject</w:t>
      </w:r>
      <w:r w:rsidRPr="00CD74DF">
        <w:t>: Reply to SPL-03 in relation to GSTR-1 vs GSTR-3B Mismatch – Interest Demand under Section 50(1)</w:t>
      </w:r>
    </w:p>
    <w:p w14:paraId="42FA5E80" w14:textId="77777777" w:rsidR="00CD74DF" w:rsidRPr="00CD74DF" w:rsidRDefault="00CD74DF" w:rsidP="00CD74DF">
      <w:r w:rsidRPr="00CD74DF">
        <w:t>Respected Sir,</w:t>
      </w:r>
    </w:p>
    <w:p w14:paraId="1A082E1E" w14:textId="3830DE4F" w:rsidR="00CD74DF" w:rsidRPr="00CD74DF" w:rsidRDefault="00CD74DF" w:rsidP="00CD74DF">
      <w:r w:rsidRPr="00CD74DF">
        <w:t>This is in reference to the </w:t>
      </w:r>
      <w:r w:rsidRPr="00CD74DF">
        <w:rPr>
          <w:b/>
          <w:bCs/>
        </w:rPr>
        <w:t>SPL-03</w:t>
      </w:r>
      <w:r w:rsidRPr="00CD74DF">
        <w:t> communication issued regarding a mismatch between outward supply values declared in </w:t>
      </w:r>
      <w:r w:rsidRPr="00CD74DF">
        <w:rPr>
          <w:b/>
          <w:bCs/>
        </w:rPr>
        <w:t>GSTR-1</w:t>
      </w:r>
      <w:r w:rsidRPr="00CD74DF">
        <w:t> and </w:t>
      </w:r>
      <w:r w:rsidRPr="00CD74DF">
        <w:rPr>
          <w:b/>
          <w:bCs/>
        </w:rPr>
        <w:t>GSTR-3B</w:t>
      </w:r>
      <w:r w:rsidRPr="00CD74DF">
        <w:t> for the above-mentioned tax period, resulting in an alleged short payment of tax and consequent liability of interest under </w:t>
      </w:r>
      <w:r w:rsidRPr="00CD74DF">
        <w:rPr>
          <w:b/>
          <w:bCs/>
        </w:rPr>
        <w:t>Section 50</w:t>
      </w:r>
      <w:r w:rsidRPr="00CD74DF">
        <w:t>(1) of the CGST Act, 2017.</w:t>
      </w:r>
    </w:p>
    <w:p w14:paraId="46DDF1AA" w14:textId="77777777" w:rsidR="00CD74DF" w:rsidRPr="00CD74DF" w:rsidRDefault="00CD74DF" w:rsidP="00CD74DF">
      <w:r w:rsidRPr="00CD74DF">
        <w:t>I respectfully submit the following:</w:t>
      </w:r>
    </w:p>
    <w:p w14:paraId="4B8CEC83" w14:textId="6A9F00F2" w:rsidR="00CD74DF" w:rsidRPr="00CD74DF" w:rsidRDefault="00CD74DF" w:rsidP="00CD74DF">
      <w:pPr>
        <w:numPr>
          <w:ilvl w:val="0"/>
          <w:numId w:val="1"/>
        </w:numPr>
      </w:pPr>
      <w:r w:rsidRPr="00CD74DF">
        <w:rPr>
          <w:b/>
          <w:bCs/>
        </w:rPr>
        <w:t>Accepted Liability &amp; Voluntary Compliance</w:t>
      </w:r>
      <w:r w:rsidRPr="00CD74DF">
        <w:t>:</w:t>
      </w:r>
      <w:r w:rsidRPr="00CD74DF">
        <w:br/>
        <w:t>The shortfall in </w:t>
      </w:r>
      <w:r w:rsidRPr="00CD74DF">
        <w:rPr>
          <w:b/>
          <w:bCs/>
        </w:rPr>
        <w:t>GSTR-3B</w:t>
      </w:r>
      <w:r w:rsidRPr="00CD74DF">
        <w:t> was not intentional and was due to a bona fide clerical or reporting error. On identifying the mismatch, the tax liability was duly paid voluntarily along with applicable interest wherever appropriate. </w:t>
      </w:r>
    </w:p>
    <w:p w14:paraId="785A2AB0" w14:textId="30D90F50" w:rsidR="00CD74DF" w:rsidRPr="00CD74DF" w:rsidRDefault="00CD74DF" w:rsidP="00CD74DF">
      <w:pPr>
        <w:numPr>
          <w:ilvl w:val="0"/>
          <w:numId w:val="1"/>
        </w:numPr>
      </w:pPr>
      <w:r w:rsidRPr="00CD74DF">
        <w:rPr>
          <w:b/>
          <w:bCs/>
        </w:rPr>
        <w:t>Nature of the Default</w:t>
      </w:r>
      <w:r w:rsidRPr="00CD74DF">
        <w:t>:</w:t>
      </w:r>
      <w:r w:rsidRPr="00CD74DF">
        <w:br/>
        <w:t>The mismatch arose not due to suppression of supply but due to deferred reporting of tax liability from </w:t>
      </w:r>
      <w:r w:rsidRPr="00CD74DF">
        <w:rPr>
          <w:b/>
          <w:bCs/>
        </w:rPr>
        <w:t>GSTR-1</w:t>
      </w:r>
      <w:r w:rsidRPr="00CD74DF">
        <w:t> to </w:t>
      </w:r>
      <w:r w:rsidRPr="00CD74DF">
        <w:rPr>
          <w:b/>
          <w:bCs/>
        </w:rPr>
        <w:t>GSTR-3B</w:t>
      </w:r>
      <w:r w:rsidRPr="00CD74DF">
        <w:t>. The tax has already been paid before the issuance of any notice or audit proceedings. </w:t>
      </w:r>
    </w:p>
    <w:p w14:paraId="36249E9E" w14:textId="11E184FF" w:rsidR="00CD74DF" w:rsidRPr="00CD74DF" w:rsidRDefault="00CD74DF" w:rsidP="00CD74DF">
      <w:pPr>
        <w:numPr>
          <w:ilvl w:val="0"/>
          <w:numId w:val="1"/>
        </w:numPr>
      </w:pPr>
      <w:r w:rsidRPr="00CD74DF">
        <w:rPr>
          <w:b/>
          <w:bCs/>
        </w:rPr>
        <w:t>Proviso to Section 50(1) – Not Attracted in This Case</w:t>
      </w:r>
      <w:r w:rsidRPr="00CD74DF">
        <w:t>:</w:t>
      </w:r>
      <w:r w:rsidRPr="00CD74DF">
        <w:br/>
        <w:t>It is submitted that the proviso to </w:t>
      </w:r>
      <w:r w:rsidRPr="00CD74DF">
        <w:rPr>
          <w:b/>
          <w:bCs/>
        </w:rPr>
        <w:t>Section 50</w:t>
      </w:r>
      <w:r w:rsidRPr="00CD74DF">
        <w:t>(1) inserted retrospectively by the Finance Act, 2021 provides that interest shall be payable only on the net cash liability, and not on the portion discharged through Input Tax Credit. This proviso has been made effective retrospectively from </w:t>
      </w:r>
      <w:r w:rsidRPr="00CD74DF">
        <w:rPr>
          <w:b/>
          <w:bCs/>
        </w:rPr>
        <w:t>01.07.2017</w:t>
      </w:r>
      <w:r w:rsidRPr="00CD74DF">
        <w:t> and has been upheld by various High Courts, including: </w:t>
      </w:r>
    </w:p>
    <w:p w14:paraId="35E5F6D4" w14:textId="45CD5EA1" w:rsidR="00CD74DF" w:rsidRPr="00CD74DF" w:rsidRDefault="00CD74DF" w:rsidP="00CD74DF">
      <w:pPr>
        <w:numPr>
          <w:ilvl w:val="1"/>
          <w:numId w:val="1"/>
        </w:numPr>
      </w:pPr>
      <w:proofErr w:type="spellStart"/>
      <w:r w:rsidRPr="00CD74DF">
        <w:rPr>
          <w:b/>
          <w:bCs/>
        </w:rPr>
        <w:t>Refex</w:t>
      </w:r>
      <w:proofErr w:type="spellEnd"/>
      <w:r w:rsidRPr="00CD74DF">
        <w:rPr>
          <w:b/>
          <w:bCs/>
        </w:rPr>
        <w:t xml:space="preserve"> Industries Ltd. v. Assistant Commissioner (Madras High Court)</w:t>
      </w:r>
      <w:r w:rsidRPr="00CD74DF">
        <w:t> </w:t>
      </w:r>
      <w:r w:rsidRPr="00CD74DF">
        <w:rPr>
          <w:b/>
          <w:bCs/>
        </w:rPr>
        <w:t>[2020]</w:t>
      </w:r>
      <w:r w:rsidRPr="00CD74DF">
        <w:t> – where the Court held that interest under </w:t>
      </w:r>
      <w:r w:rsidRPr="00CD74DF">
        <w:rPr>
          <w:b/>
          <w:bCs/>
        </w:rPr>
        <w:t>Section 50</w:t>
      </w:r>
      <w:r w:rsidRPr="00CD74DF">
        <w:t>(1) applies only on net tax liability paid in cash. </w:t>
      </w:r>
    </w:p>
    <w:p w14:paraId="523AFE47" w14:textId="72B42FD6" w:rsidR="00CD74DF" w:rsidRPr="00CD74DF" w:rsidRDefault="00CD74DF" w:rsidP="00CD74DF">
      <w:pPr>
        <w:numPr>
          <w:ilvl w:val="1"/>
          <w:numId w:val="1"/>
        </w:numPr>
      </w:pPr>
      <w:r w:rsidRPr="00CD74DF">
        <w:rPr>
          <w:b/>
          <w:bCs/>
        </w:rPr>
        <w:t>LC Infra Projects Pvt. Ltd. v. Union of India [2023-VIL-824-KAR]</w:t>
      </w:r>
      <w:r w:rsidRPr="00CD74DF">
        <w:t>– held that benefit of retrospective amendment is available in all cases. </w:t>
      </w:r>
    </w:p>
    <w:p w14:paraId="3C39CCC6" w14:textId="7946EC98" w:rsidR="00CD74DF" w:rsidRPr="00CD74DF" w:rsidRDefault="00CD74DF" w:rsidP="00CD74DF">
      <w:pPr>
        <w:numPr>
          <w:ilvl w:val="0"/>
          <w:numId w:val="1"/>
        </w:numPr>
      </w:pPr>
      <w:r w:rsidRPr="00CD74DF">
        <w:rPr>
          <w:b/>
          <w:bCs/>
        </w:rPr>
        <w:t>Request for Waiver/Non-Imposition of Further Interest</w:t>
      </w:r>
      <w:r w:rsidRPr="00CD74DF">
        <w:t>:</w:t>
      </w:r>
      <w:r w:rsidRPr="00CD74DF">
        <w:br/>
        <w:t xml:space="preserve">Since the entire tax has been paid voluntarily and no suppression or fraud is involved, </w:t>
      </w:r>
      <w:r w:rsidRPr="00CD74DF">
        <w:lastRenderedPageBreak/>
        <w:t>and the mismatch has been rectified, it is requested that the interest proceedings under </w:t>
      </w:r>
      <w:r w:rsidRPr="00CD74DF">
        <w:rPr>
          <w:b/>
          <w:bCs/>
        </w:rPr>
        <w:t>Section 50</w:t>
      </w:r>
      <w:r w:rsidRPr="00CD74DF">
        <w:t>(1) may kindly be reconsidered and dropped to the extent applicable or treated as fully discharged. </w:t>
      </w:r>
    </w:p>
    <w:p w14:paraId="10719FC0" w14:textId="77777777" w:rsidR="00CD74DF" w:rsidRPr="00CD74DF" w:rsidRDefault="00CD74DF" w:rsidP="00CD74DF">
      <w:r w:rsidRPr="00CD74DF">
        <w:t>I assure your good office that utmost care will be taken in future to ensure accurate and timely reporting in returns.</w:t>
      </w:r>
    </w:p>
    <w:p w14:paraId="720A37BA" w14:textId="77777777" w:rsidR="00CD74DF" w:rsidRPr="00CD74DF" w:rsidRDefault="00CD74DF" w:rsidP="00CD74DF">
      <w:r w:rsidRPr="00CD74DF">
        <w:t>Thanking you,</w:t>
      </w:r>
    </w:p>
    <w:p w14:paraId="0D08D681" w14:textId="77777777" w:rsidR="00CD74DF" w:rsidRPr="00CD74DF" w:rsidRDefault="00CD74DF" w:rsidP="00CD74DF">
      <w:r w:rsidRPr="00CD74DF">
        <w:t>Yours sincerely,</w:t>
      </w:r>
    </w:p>
    <w:p w14:paraId="4676EDDF"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94761"/>
    <w:multiLevelType w:val="multilevel"/>
    <w:tmpl w:val="2FB82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223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DF"/>
    <w:rsid w:val="00015844"/>
    <w:rsid w:val="00031CAE"/>
    <w:rsid w:val="00447B58"/>
    <w:rsid w:val="005237F3"/>
    <w:rsid w:val="00CD74DF"/>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EA8F"/>
  <w15:chartTrackingRefBased/>
  <w15:docId w15:val="{35E911F0-C6A6-4F2E-A7EA-7785A937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4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74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74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74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74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7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4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74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74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74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74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7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4DF"/>
    <w:rPr>
      <w:rFonts w:eastAsiaTheme="majorEastAsia" w:cstheme="majorBidi"/>
      <w:color w:val="272727" w:themeColor="text1" w:themeTint="D8"/>
    </w:rPr>
  </w:style>
  <w:style w:type="paragraph" w:styleId="Title">
    <w:name w:val="Title"/>
    <w:basedOn w:val="Normal"/>
    <w:next w:val="Normal"/>
    <w:link w:val="TitleChar"/>
    <w:uiPriority w:val="10"/>
    <w:qFormat/>
    <w:rsid w:val="00CD7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4DF"/>
    <w:pPr>
      <w:spacing w:before="160"/>
      <w:jc w:val="center"/>
    </w:pPr>
    <w:rPr>
      <w:i/>
      <w:iCs/>
      <w:color w:val="404040" w:themeColor="text1" w:themeTint="BF"/>
    </w:rPr>
  </w:style>
  <w:style w:type="character" w:customStyle="1" w:styleId="QuoteChar">
    <w:name w:val="Quote Char"/>
    <w:basedOn w:val="DefaultParagraphFont"/>
    <w:link w:val="Quote"/>
    <w:uiPriority w:val="29"/>
    <w:rsid w:val="00CD74DF"/>
    <w:rPr>
      <w:i/>
      <w:iCs/>
      <w:color w:val="404040" w:themeColor="text1" w:themeTint="BF"/>
    </w:rPr>
  </w:style>
  <w:style w:type="paragraph" w:styleId="ListParagraph">
    <w:name w:val="List Paragraph"/>
    <w:basedOn w:val="Normal"/>
    <w:uiPriority w:val="34"/>
    <w:qFormat/>
    <w:rsid w:val="00CD74DF"/>
    <w:pPr>
      <w:ind w:left="720"/>
      <w:contextualSpacing/>
    </w:pPr>
  </w:style>
  <w:style w:type="character" w:styleId="IntenseEmphasis">
    <w:name w:val="Intense Emphasis"/>
    <w:basedOn w:val="DefaultParagraphFont"/>
    <w:uiPriority w:val="21"/>
    <w:qFormat/>
    <w:rsid w:val="00CD74DF"/>
    <w:rPr>
      <w:i/>
      <w:iCs/>
      <w:color w:val="2F5496" w:themeColor="accent1" w:themeShade="BF"/>
    </w:rPr>
  </w:style>
  <w:style w:type="paragraph" w:styleId="IntenseQuote">
    <w:name w:val="Intense Quote"/>
    <w:basedOn w:val="Normal"/>
    <w:next w:val="Normal"/>
    <w:link w:val="IntenseQuoteChar"/>
    <w:uiPriority w:val="30"/>
    <w:qFormat/>
    <w:rsid w:val="00CD7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74DF"/>
    <w:rPr>
      <w:i/>
      <w:iCs/>
      <w:color w:val="2F5496" w:themeColor="accent1" w:themeShade="BF"/>
    </w:rPr>
  </w:style>
  <w:style w:type="character" w:styleId="IntenseReference">
    <w:name w:val="Intense Reference"/>
    <w:basedOn w:val="DefaultParagraphFont"/>
    <w:uiPriority w:val="32"/>
    <w:qFormat/>
    <w:rsid w:val="00CD74DF"/>
    <w:rPr>
      <w:b/>
      <w:bCs/>
      <w:smallCaps/>
      <w:color w:val="2F5496" w:themeColor="accent1" w:themeShade="BF"/>
      <w:spacing w:val="5"/>
    </w:rPr>
  </w:style>
  <w:style w:type="character" w:styleId="Hyperlink">
    <w:name w:val="Hyperlink"/>
    <w:basedOn w:val="DefaultParagraphFont"/>
    <w:uiPriority w:val="99"/>
    <w:unhideWhenUsed/>
    <w:rsid w:val="00CD74DF"/>
    <w:rPr>
      <w:color w:val="0563C1" w:themeColor="hyperlink"/>
      <w:u w:val="single"/>
    </w:rPr>
  </w:style>
  <w:style w:type="character" w:styleId="UnresolvedMention">
    <w:name w:val="Unresolved Mention"/>
    <w:basedOn w:val="DefaultParagraphFont"/>
    <w:uiPriority w:val="99"/>
    <w:semiHidden/>
    <w:unhideWhenUsed/>
    <w:rsid w:val="00CD7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2025-10-27T09:09:00Z</dcterms:created>
  <dcterms:modified xsi:type="dcterms:W3CDTF">2025-10-27T09:18:00Z</dcterms:modified>
</cp:coreProperties>
</file>