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E71FFA" w:rsidRPr="00E71FFA" w14:paraId="0AB69562" w14:textId="77777777">
        <w:trPr>
          <w:trHeight w:val="2535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7441A88" w14:textId="77777777" w:rsidR="00E71FFA" w:rsidRPr="00E71FFA" w:rsidRDefault="00E71FFA" w:rsidP="00E71FFA">
            <w:r w:rsidRPr="00E71FFA">
              <w:rPr>
                <w:b/>
                <w:bCs/>
              </w:rPr>
              <w:t>EFORE THE HON’BLE- COMMISSONER OF INCOME TAX (APPEAL)</w:t>
            </w:r>
          </w:p>
          <w:p w14:paraId="4ABAA0A8" w14:textId="77777777" w:rsidR="00E71FFA" w:rsidRPr="00E71FFA" w:rsidRDefault="00E71FFA" w:rsidP="00E71FFA">
            <w:r w:rsidRPr="00E71FFA">
              <w:rPr>
                <w:b/>
                <w:bCs/>
              </w:rPr>
              <w:t>NATIONAL FACELESS APPEAL CENTRE (</w:t>
            </w:r>
            <w:proofErr w:type="gramStart"/>
            <w:r w:rsidRPr="00E71FFA">
              <w:rPr>
                <w:b/>
                <w:bCs/>
              </w:rPr>
              <w:t>NFAC)  DELHI</w:t>
            </w:r>
            <w:proofErr w:type="gramEnd"/>
          </w:p>
          <w:p w14:paraId="74B23148" w14:textId="77777777" w:rsidR="00E71FFA" w:rsidRPr="00E71FFA" w:rsidRDefault="00E71FFA" w:rsidP="00E71FFA">
            <w:r w:rsidRPr="00E71FFA">
              <w:rPr>
                <w:b/>
                <w:bCs/>
              </w:rPr>
              <w:t>In the case of</w:t>
            </w:r>
          </w:p>
          <w:p w14:paraId="731998B4" w14:textId="77777777" w:rsidR="00E71FFA" w:rsidRPr="00E71FFA" w:rsidRDefault="00E71FFA" w:rsidP="00E71FFA">
            <w:r w:rsidRPr="00E71FFA">
              <w:rPr>
                <w:b/>
                <w:bCs/>
              </w:rPr>
              <w:t>----------------------------------------------------------------------------.</w:t>
            </w:r>
          </w:p>
          <w:p w14:paraId="380433D7" w14:textId="77777777" w:rsidR="00E71FFA" w:rsidRPr="00E71FFA" w:rsidRDefault="00E71FFA" w:rsidP="00E71FFA">
            <w:r w:rsidRPr="00E71FFA">
              <w:rPr>
                <w:b/>
                <w:bCs/>
              </w:rPr>
              <w:t>PAN: AAAXXXXXXJ for AY: --------------------</w:t>
            </w:r>
          </w:p>
          <w:p w14:paraId="1445A217" w14:textId="77777777" w:rsidR="00E71FFA" w:rsidRPr="00E71FFA" w:rsidRDefault="00E71FFA" w:rsidP="00E71FFA">
            <w:r w:rsidRPr="00E71FFA">
              <w:t>Arising out of</w:t>
            </w:r>
          </w:p>
          <w:p w14:paraId="4E67FDCF" w14:textId="77777777" w:rsidR="00E71FFA" w:rsidRPr="00E71FFA" w:rsidRDefault="00E71FFA" w:rsidP="00E71FFA">
            <w:r w:rsidRPr="00E71FFA">
              <w:t>Assessment Order No:  ------------------------------</w:t>
            </w:r>
            <w:proofErr w:type="gramStart"/>
            <w:r w:rsidRPr="00E71FFA">
              <w:t>,  passed</w:t>
            </w:r>
            <w:proofErr w:type="gramEnd"/>
            <w:r w:rsidRPr="00E71FFA">
              <w:t xml:space="preserve"> under section 147 </w:t>
            </w:r>
            <w:proofErr w:type="spellStart"/>
            <w:r w:rsidRPr="00E71FFA">
              <w:t>r.w.s</w:t>
            </w:r>
            <w:proofErr w:type="spellEnd"/>
            <w:r w:rsidRPr="00E71FFA">
              <w:t xml:space="preserve"> 144 read with section 144B of the Income-tax Act </w:t>
            </w:r>
            <w:proofErr w:type="gramStart"/>
            <w:r w:rsidRPr="00E71FFA">
              <w:t>vide  Order</w:t>
            </w:r>
            <w:proofErr w:type="gramEnd"/>
            <w:r w:rsidRPr="00E71FFA">
              <w:t xml:space="preserve"> </w:t>
            </w:r>
            <w:proofErr w:type="gramStart"/>
            <w:r w:rsidRPr="00E71FFA">
              <w:t>dated  ------------------</w:t>
            </w:r>
            <w:proofErr w:type="gramEnd"/>
          </w:p>
          <w:p w14:paraId="0680C38C" w14:textId="77777777" w:rsidR="00E71FFA" w:rsidRPr="00E71FFA" w:rsidRDefault="00E71FFA" w:rsidP="00E71FFA">
            <w:r w:rsidRPr="00E71FFA">
              <w:rPr>
                <w:b/>
                <w:bCs/>
                <w:u w:val="single"/>
              </w:rPr>
              <w:t>STATEMENT OF FACTS</w:t>
            </w:r>
          </w:p>
          <w:p w14:paraId="14DA8111" w14:textId="77777777" w:rsidR="00E71FFA" w:rsidRPr="00E71FFA" w:rsidRDefault="00E71FFA" w:rsidP="00E71FFA">
            <w:pPr>
              <w:numPr>
                <w:ilvl w:val="0"/>
                <w:numId w:val="1"/>
              </w:numPr>
            </w:pPr>
            <w:r w:rsidRPr="00E71FFA">
              <w:t xml:space="preserve">The </w:t>
            </w:r>
            <w:proofErr w:type="spellStart"/>
            <w:r w:rsidRPr="00E71FFA">
              <w:t>assessee</w:t>
            </w:r>
            <w:proofErr w:type="spellEnd"/>
            <w:r w:rsidRPr="00E71FFA">
              <w:t xml:space="preserve"> “-------------------------------------------” is a </w:t>
            </w:r>
            <w:r w:rsidRPr="00E71FFA">
              <w:rPr>
                <w:b/>
                <w:bCs/>
              </w:rPr>
              <w:t>co-operative society</w:t>
            </w:r>
            <w:r w:rsidRPr="00E71FFA">
              <w:t>, duly registered under the </w:t>
            </w:r>
            <w:r w:rsidRPr="00E71FFA">
              <w:rPr>
                <w:b/>
                <w:bCs/>
              </w:rPr>
              <w:t>Bombay Co-Operative Societies Act, 1925</w:t>
            </w:r>
            <w:r w:rsidRPr="00E71FFA">
              <w:t> on ---------------- registration number ---------- of --------.</w:t>
            </w:r>
          </w:p>
          <w:p w14:paraId="1D962D4A" w14:textId="77777777" w:rsidR="00E71FFA" w:rsidRPr="00E71FFA" w:rsidRDefault="00E71FFA" w:rsidP="00E71FFA">
            <w:pPr>
              <w:numPr>
                <w:ilvl w:val="0"/>
                <w:numId w:val="1"/>
              </w:numPr>
            </w:pPr>
            <w:r w:rsidRPr="00E71FFA">
              <w:t xml:space="preserve">The </w:t>
            </w:r>
            <w:proofErr w:type="spellStart"/>
            <w:r w:rsidRPr="00E71FFA">
              <w:t>assessee</w:t>
            </w:r>
            <w:proofErr w:type="spellEnd"/>
            <w:r w:rsidRPr="00E71FFA">
              <w:t xml:space="preserve"> is engaged in the activity of providing credit facilities exclusively to its own members of the appellant </w:t>
            </w:r>
            <w:proofErr w:type="gramStart"/>
            <w:r w:rsidRPr="00E71FFA">
              <w:t>society  as</w:t>
            </w:r>
            <w:proofErr w:type="gramEnd"/>
            <w:r w:rsidRPr="00E71FFA">
              <w:t xml:space="preserve"> per the bye laws of the society.</w:t>
            </w:r>
          </w:p>
          <w:p w14:paraId="255427A2" w14:textId="77777777" w:rsidR="00E71FFA" w:rsidRPr="00E71FFA" w:rsidRDefault="00E71FFA" w:rsidP="00E71FFA">
            <w:pPr>
              <w:numPr>
                <w:ilvl w:val="0"/>
                <w:numId w:val="1"/>
              </w:numPr>
            </w:pPr>
            <w:r w:rsidRPr="00E71FFA">
              <w:t xml:space="preserve">The </w:t>
            </w:r>
            <w:proofErr w:type="spellStart"/>
            <w:r w:rsidRPr="00E71FFA">
              <w:t>assessee</w:t>
            </w:r>
            <w:proofErr w:type="spellEnd"/>
            <w:r w:rsidRPr="00E71FFA">
              <w:t xml:space="preserve"> accepts deposits exclusively from its members as well as lends the same to exclusively to its own members by complying with its bye laws, under the concept of mutuality.</w:t>
            </w:r>
          </w:p>
          <w:p w14:paraId="28812AB9" w14:textId="77777777" w:rsidR="00E71FFA" w:rsidRPr="00E71FFA" w:rsidRDefault="00E71FFA" w:rsidP="00E71FFA">
            <w:pPr>
              <w:numPr>
                <w:ilvl w:val="0"/>
                <w:numId w:val="1"/>
              </w:numPr>
            </w:pPr>
            <w:r w:rsidRPr="00E71FFA">
              <w:t xml:space="preserve">The </w:t>
            </w:r>
            <w:proofErr w:type="spellStart"/>
            <w:r w:rsidRPr="00E71FFA">
              <w:t>assessee</w:t>
            </w:r>
            <w:proofErr w:type="spellEnd"/>
            <w:r w:rsidRPr="00E71FFA">
              <w:t xml:space="preserve"> maintains following  saving bank accounts :</w:t>
            </w:r>
            <w:r w:rsidRPr="00E71FFA">
              <w:br/>
              <w:t>(a) Saving Bank Account Number --------------------- with ---------------------------------------------------,</w:t>
            </w:r>
            <w:r w:rsidRPr="00E71FFA">
              <w:br/>
              <w:t>(b) Saving Bank Account Number ----------------------------- with  -----------------------------------------</w:t>
            </w:r>
          </w:p>
          <w:p w14:paraId="7E50CFDF" w14:textId="77777777" w:rsidR="00E71FFA" w:rsidRPr="00E71FFA" w:rsidRDefault="00E71FFA" w:rsidP="00E71FFA">
            <w:pPr>
              <w:numPr>
                <w:ilvl w:val="0"/>
                <w:numId w:val="1"/>
              </w:numPr>
            </w:pPr>
            <w:r w:rsidRPr="00E71FFA">
              <w:t xml:space="preserve">The </w:t>
            </w:r>
            <w:proofErr w:type="spellStart"/>
            <w:r w:rsidRPr="00E71FFA">
              <w:t>assessee</w:t>
            </w:r>
            <w:proofErr w:type="spellEnd"/>
            <w:r w:rsidRPr="00E71FFA">
              <w:t xml:space="preserve"> cooperative society in the course of its business of primary credit cooperative society  receives deposit/ share contribution  from its own members both in cash and through Govt Treasury office (</w:t>
            </w:r>
            <w:proofErr w:type="spellStart"/>
            <w:r w:rsidRPr="00E71FFA">
              <w:t>i.e</w:t>
            </w:r>
            <w:proofErr w:type="spellEnd"/>
            <w:r w:rsidRPr="00E71FFA">
              <w:t xml:space="preserve"> BEO),  which is duly recorded in the regular books of accounts and which  is deposited in the above saving bank accounts  from time to time  during the Financial Year ------------- as below:</w:t>
            </w:r>
            <w:r w:rsidRPr="00E71FFA">
              <w:br/>
              <w:t>(a) Rs ---------------- in Saving Bank Account Number ----------------------- with -------------------------------------------------,</w:t>
            </w:r>
            <w:r w:rsidRPr="00E71FFA">
              <w:br/>
              <w:t>(b) Rs -------------------------- Saving Bank Account Number --------------------------- with  ----------------------------------.</w:t>
            </w:r>
          </w:p>
          <w:p w14:paraId="7D43A7F4" w14:textId="77777777" w:rsidR="00E71FFA" w:rsidRPr="00E71FFA" w:rsidRDefault="00E71FFA" w:rsidP="00E71FFA">
            <w:pPr>
              <w:numPr>
                <w:ilvl w:val="0"/>
                <w:numId w:val="1"/>
              </w:numPr>
            </w:pPr>
            <w:r w:rsidRPr="00E71FFA">
              <w:t xml:space="preserve">Notice u/s 148  was issued to the </w:t>
            </w:r>
            <w:proofErr w:type="spellStart"/>
            <w:r w:rsidRPr="00E71FFA">
              <w:t>assessee</w:t>
            </w:r>
            <w:proofErr w:type="spellEnd"/>
            <w:r w:rsidRPr="00E71FFA">
              <w:t xml:space="preserve"> on -------------- and in compliance thereto Income Tax Return for the A.Y.---------------  was filed on -------------, vide ACK No- ----------------------, electronically by declaring a total income of Rs --------------- after claiming deduction of Rs ----------------- u/s 80P 2(a)(</w:t>
            </w:r>
            <w:proofErr w:type="spellStart"/>
            <w:r w:rsidRPr="00E71FFA">
              <w:t>i</w:t>
            </w:r>
            <w:proofErr w:type="spellEnd"/>
            <w:r w:rsidRPr="00E71FFA">
              <w:t>) of the Act, 1961</w:t>
            </w:r>
          </w:p>
          <w:p w14:paraId="278F24EB" w14:textId="77777777" w:rsidR="00E71FFA" w:rsidRPr="00E71FFA" w:rsidRDefault="00E71FFA" w:rsidP="00E71FFA">
            <w:pPr>
              <w:numPr>
                <w:ilvl w:val="0"/>
                <w:numId w:val="1"/>
              </w:numPr>
            </w:pPr>
            <w:proofErr w:type="gramStart"/>
            <w:r w:rsidRPr="00E71FFA">
              <w:lastRenderedPageBreak/>
              <w:t>However</w:t>
            </w:r>
            <w:proofErr w:type="gramEnd"/>
            <w:r w:rsidRPr="00E71FFA">
              <w:t xml:space="preserve"> none of the notices issued by The Assessment Unit- per assessment </w:t>
            </w:r>
            <w:proofErr w:type="gramStart"/>
            <w:r w:rsidRPr="00E71FFA">
              <w:t>order,  as</w:t>
            </w:r>
            <w:proofErr w:type="gramEnd"/>
            <w:r w:rsidRPr="00E71FFA">
              <w:t xml:space="preserve"> per details below have ever been served to the </w:t>
            </w:r>
            <w:proofErr w:type="spellStart"/>
            <w:r w:rsidRPr="00E71FFA">
              <w:t>assessee</w:t>
            </w:r>
            <w:proofErr w:type="spellEnd"/>
            <w:r w:rsidRPr="00E71FFA">
              <w:t>:</w:t>
            </w:r>
          </w:p>
          <w:p w14:paraId="398806CA" w14:textId="77777777" w:rsidR="00E71FFA" w:rsidRPr="00E71FFA" w:rsidRDefault="00E71FFA" w:rsidP="00E71FFA">
            <w:pPr>
              <w:numPr>
                <w:ilvl w:val="1"/>
                <w:numId w:val="1"/>
              </w:numPr>
            </w:pPr>
            <w:r w:rsidRPr="00E71FFA">
              <w:t xml:space="preserve">Notice u/s 142(1) issued </w:t>
            </w:r>
            <w:proofErr w:type="gramStart"/>
            <w:r w:rsidRPr="00E71FFA">
              <w:t>on  ------------------</w:t>
            </w:r>
            <w:proofErr w:type="gramEnd"/>
          </w:p>
          <w:p w14:paraId="32794ECC" w14:textId="77777777" w:rsidR="00E71FFA" w:rsidRPr="00E71FFA" w:rsidRDefault="00E71FFA" w:rsidP="00E71FFA">
            <w:pPr>
              <w:numPr>
                <w:ilvl w:val="1"/>
                <w:numId w:val="1"/>
              </w:numPr>
            </w:pPr>
            <w:r w:rsidRPr="00E71FFA">
              <w:t xml:space="preserve">Notice u/s 142(1) issued </w:t>
            </w:r>
            <w:proofErr w:type="gramStart"/>
            <w:r w:rsidRPr="00E71FFA">
              <w:t>on  ------------------</w:t>
            </w:r>
            <w:proofErr w:type="gramEnd"/>
          </w:p>
          <w:p w14:paraId="72D0B2A9" w14:textId="77777777" w:rsidR="00E71FFA" w:rsidRPr="00E71FFA" w:rsidRDefault="00E71FFA" w:rsidP="00E71FFA">
            <w:pPr>
              <w:numPr>
                <w:ilvl w:val="1"/>
                <w:numId w:val="1"/>
              </w:numPr>
            </w:pPr>
            <w:r w:rsidRPr="00E71FFA">
              <w:t>AU1 issued on ---------------</w:t>
            </w:r>
          </w:p>
          <w:p w14:paraId="4B62F355" w14:textId="77777777" w:rsidR="00E71FFA" w:rsidRPr="00E71FFA" w:rsidRDefault="00E71FFA" w:rsidP="00E71FFA">
            <w:pPr>
              <w:numPr>
                <w:ilvl w:val="1"/>
                <w:numId w:val="1"/>
              </w:numPr>
            </w:pPr>
            <w:r w:rsidRPr="00E71FFA">
              <w:t>SCN issued on ---------------</w:t>
            </w:r>
          </w:p>
          <w:p w14:paraId="2E1DDA1F" w14:textId="77777777" w:rsidR="00E71FFA" w:rsidRPr="00E71FFA" w:rsidRDefault="00E71FFA" w:rsidP="00E71FFA">
            <w:pPr>
              <w:numPr>
                <w:ilvl w:val="1"/>
                <w:numId w:val="1"/>
              </w:numPr>
            </w:pPr>
            <w:r w:rsidRPr="00E71FFA">
              <w:t>SCN issued on ---------------</w:t>
            </w:r>
          </w:p>
          <w:p w14:paraId="4A45B3B9" w14:textId="77777777" w:rsidR="00E71FFA" w:rsidRPr="00E71FFA" w:rsidRDefault="00E71FFA" w:rsidP="00E71FFA">
            <w:pPr>
              <w:numPr>
                <w:ilvl w:val="0"/>
                <w:numId w:val="1"/>
              </w:numPr>
            </w:pPr>
            <w:r w:rsidRPr="00E71FFA">
              <w:t xml:space="preserve">Since none of above notice could ever be served to the </w:t>
            </w:r>
            <w:proofErr w:type="spellStart"/>
            <w:proofErr w:type="gramStart"/>
            <w:r w:rsidRPr="00E71FFA">
              <w:t>assessee</w:t>
            </w:r>
            <w:proofErr w:type="spellEnd"/>
            <w:r w:rsidRPr="00E71FFA">
              <w:t xml:space="preserve"> ,</w:t>
            </w:r>
            <w:proofErr w:type="gramEnd"/>
            <w:r w:rsidRPr="00E71FFA">
              <w:t xml:space="preserve"> the same remain un responded and un-complied with, without any fault of the </w:t>
            </w:r>
            <w:proofErr w:type="spellStart"/>
            <w:r w:rsidRPr="00E71FFA">
              <w:t>assessee</w:t>
            </w:r>
            <w:proofErr w:type="spellEnd"/>
          </w:p>
          <w:p w14:paraId="6F0C9F97" w14:textId="77777777" w:rsidR="00E71FFA" w:rsidRPr="00E71FFA" w:rsidRDefault="00E71FFA" w:rsidP="00E71FFA">
            <w:pPr>
              <w:numPr>
                <w:ilvl w:val="0"/>
                <w:numId w:val="1"/>
              </w:numPr>
            </w:pPr>
            <w:r w:rsidRPr="00E71FFA">
              <w:t xml:space="preserve">The assessment in this case was </w:t>
            </w:r>
            <w:proofErr w:type="gramStart"/>
            <w:r w:rsidRPr="00E71FFA">
              <w:t>completed  u</w:t>
            </w:r>
            <w:proofErr w:type="gramEnd"/>
            <w:r w:rsidRPr="00E71FFA">
              <w:t xml:space="preserve">/s 147 </w:t>
            </w:r>
            <w:proofErr w:type="spellStart"/>
            <w:r w:rsidRPr="00E71FFA">
              <w:t>r.w.s</w:t>
            </w:r>
            <w:proofErr w:type="spellEnd"/>
            <w:r w:rsidRPr="00E71FFA">
              <w:t xml:space="preserve">. 144 read with section 144B of the Income-tax Act </w:t>
            </w:r>
            <w:proofErr w:type="gramStart"/>
            <w:r w:rsidRPr="00E71FFA">
              <w:t>on  -------------------</w:t>
            </w:r>
            <w:proofErr w:type="gramEnd"/>
            <w:r w:rsidRPr="00E71FFA">
              <w:t>, which was also not served by post or e-mail, and has recently been downloaded by the consultant on --------------------</w:t>
            </w:r>
            <w:proofErr w:type="gramStart"/>
            <w:r w:rsidRPr="00E71FFA">
              <w:t>,  per</w:t>
            </w:r>
            <w:proofErr w:type="gramEnd"/>
            <w:r w:rsidRPr="00E71FFA">
              <w:t xml:space="preserve"> order the following additions were made:</w:t>
            </w:r>
          </w:p>
          <w:p w14:paraId="52534676" w14:textId="77777777" w:rsidR="00E71FFA" w:rsidRPr="00E71FFA" w:rsidRDefault="00E71FFA" w:rsidP="00E71FFA">
            <w:pPr>
              <w:numPr>
                <w:ilvl w:val="1"/>
                <w:numId w:val="1"/>
              </w:numPr>
            </w:pPr>
            <w:r w:rsidRPr="00E71FFA">
              <w:rPr>
                <w:b/>
                <w:bCs/>
                <w:u w:val="single"/>
              </w:rPr>
              <w:t>Addition of Rs. </w:t>
            </w:r>
            <w:r w:rsidRPr="00E71FFA">
              <w:rPr>
                <w:b/>
                <w:bCs/>
                <w:i/>
                <w:iCs/>
                <w:u w:val="single"/>
              </w:rPr>
              <w:t>------------------</w:t>
            </w:r>
            <w:r w:rsidRPr="00E71FFA">
              <w:rPr>
                <w:b/>
                <w:bCs/>
                <w:i/>
                <w:iCs/>
                <w:u w:val="single"/>
              </w:rPr>
              <w:br/>
            </w:r>
            <w:r w:rsidRPr="00E71FFA">
              <w:rPr>
                <w:b/>
                <w:bCs/>
                <w:i/>
                <w:iCs/>
                <w:u w:val="single"/>
              </w:rPr>
              <w:br/>
            </w:r>
            <w:r w:rsidRPr="00E71FFA">
              <w:t xml:space="preserve">Cash Deposited in ------------------ Bank and </w:t>
            </w:r>
            <w:proofErr w:type="gramStart"/>
            <w:r w:rsidRPr="00E71FFA">
              <w:t>Other  considering</w:t>
            </w:r>
            <w:proofErr w:type="gramEnd"/>
            <w:r w:rsidRPr="00E71FFA">
              <w:t xml:space="preserve"> the same from unexplained </w:t>
            </w:r>
            <w:proofErr w:type="gramStart"/>
            <w:r w:rsidRPr="00E71FFA">
              <w:t>sources  u</w:t>
            </w:r>
            <w:proofErr w:type="gramEnd"/>
            <w:r w:rsidRPr="00E71FFA">
              <w:t>/s 69A and Section 115BBE               Rs. ------------</w:t>
            </w:r>
          </w:p>
          <w:p w14:paraId="5FC2F834" w14:textId="77777777" w:rsidR="00E71FFA" w:rsidRPr="00E71FFA" w:rsidRDefault="00E71FFA" w:rsidP="00E71FFA">
            <w:pPr>
              <w:numPr>
                <w:ilvl w:val="1"/>
                <w:numId w:val="1"/>
              </w:numPr>
            </w:pPr>
            <w:r w:rsidRPr="00E71FFA">
              <w:rPr>
                <w:b/>
                <w:bCs/>
                <w:u w:val="single"/>
              </w:rPr>
              <w:t xml:space="preserve">Addition of </w:t>
            </w:r>
            <w:proofErr w:type="gramStart"/>
            <w:r w:rsidRPr="00E71FFA">
              <w:rPr>
                <w:b/>
                <w:bCs/>
                <w:u w:val="single"/>
              </w:rPr>
              <w:t>Rs.</w:t>
            </w:r>
            <w:r w:rsidRPr="00E71FFA">
              <w:rPr>
                <w:u w:val="single"/>
              </w:rPr>
              <w:t>----------------------</w:t>
            </w:r>
            <w:proofErr w:type="gramEnd"/>
            <w:r w:rsidRPr="00E71FFA">
              <w:rPr>
                <w:u w:val="single"/>
              </w:rPr>
              <w:br/>
            </w:r>
            <w:r w:rsidRPr="00E71FFA">
              <w:rPr>
                <w:u w:val="single"/>
              </w:rPr>
              <w:br/>
            </w:r>
            <w:r w:rsidRPr="00E71FFA">
              <w:t>Disallowance of Deduction claimed u/s 80P                 Rs. ---------------</w:t>
            </w:r>
            <w:r w:rsidRPr="00E71FFA">
              <w:br/>
            </w:r>
            <w:r w:rsidRPr="00E71FFA">
              <w:br/>
              <w:t xml:space="preserve">Total </w:t>
            </w:r>
            <w:proofErr w:type="gramStart"/>
            <w:r w:rsidRPr="00E71FFA">
              <w:t>Additions  of</w:t>
            </w:r>
            <w:proofErr w:type="gramEnd"/>
            <w:r w:rsidRPr="00E71FFA">
              <w:t xml:space="preserve">                                                    Rs. ------------------------</w:t>
            </w:r>
          </w:p>
          <w:p w14:paraId="55B8CCD7" w14:textId="77777777" w:rsidR="00E71FFA" w:rsidRPr="00E71FFA" w:rsidRDefault="00E71FFA" w:rsidP="00E71FFA">
            <w:pPr>
              <w:numPr>
                <w:ilvl w:val="0"/>
                <w:numId w:val="1"/>
              </w:numPr>
            </w:pPr>
            <w:r w:rsidRPr="00E71FFA">
              <w:t xml:space="preserve">Aggrieved Upon by the unjustified and arbitrary Assessment Order passed u/s 147 r.w.s.144 and 144B whereby additions have been made u/s 69A and tax has been determined on the same as per provisions of section 115BBE as </w:t>
            </w:r>
            <w:proofErr w:type="gramStart"/>
            <w:r w:rsidRPr="00E71FFA">
              <w:t>above ,the</w:t>
            </w:r>
            <w:proofErr w:type="gramEnd"/>
            <w:r w:rsidRPr="00E71FFA">
              <w:t xml:space="preserve"> </w:t>
            </w:r>
            <w:proofErr w:type="spellStart"/>
            <w:r w:rsidRPr="00E71FFA">
              <w:t>assessee</w:t>
            </w:r>
            <w:proofErr w:type="spellEnd"/>
            <w:r w:rsidRPr="00E71FFA">
              <w:t xml:space="preserve"> is in appeal before your honors.</w:t>
            </w:r>
          </w:p>
          <w:p w14:paraId="2D9727CD" w14:textId="77777777" w:rsidR="00E71FFA" w:rsidRPr="00E71FFA" w:rsidRDefault="00E71FFA" w:rsidP="00E71FFA">
            <w:r w:rsidRPr="00E71FFA">
              <w:rPr>
                <w:b/>
                <w:bCs/>
                <w:u w:val="single"/>
              </w:rPr>
              <w:t>GROUNDS OF APPEAL</w:t>
            </w: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1"/>
              <w:gridCol w:w="1246"/>
              <w:gridCol w:w="1884"/>
              <w:gridCol w:w="6473"/>
            </w:tblGrid>
            <w:tr w:rsidR="00E71FFA" w:rsidRPr="00E71FFA" w14:paraId="13CF8789" w14:textId="77777777"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DEB931" w14:textId="77777777" w:rsidR="00E71FFA" w:rsidRPr="00E71FFA" w:rsidRDefault="00E71FFA" w:rsidP="00E71FFA">
                  <w:r w:rsidRPr="00E71FFA">
                    <w:rPr>
                      <w:b/>
                      <w:bCs/>
                    </w:rPr>
                    <w:t>S. No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735ED8" w14:textId="77777777" w:rsidR="00E71FFA" w:rsidRPr="00E71FFA" w:rsidRDefault="00E71FFA" w:rsidP="00E71FFA">
                  <w:r w:rsidRPr="00E71FFA">
                    <w:rPr>
                      <w:b/>
                      <w:bCs/>
                    </w:rPr>
                    <w:t>Section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0A80B2" w14:textId="77777777" w:rsidR="00E71FFA" w:rsidRPr="00E71FFA" w:rsidRDefault="00E71FFA" w:rsidP="00E71FFA">
                  <w:r w:rsidRPr="00E71FFA">
                    <w:rPr>
                      <w:b/>
                      <w:bCs/>
                    </w:rPr>
                    <w:t>Issue</w:t>
                  </w:r>
                </w:p>
              </w:tc>
              <w:tc>
                <w:tcPr>
                  <w:tcW w:w="6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F83328" w14:textId="77777777" w:rsidR="00E71FFA" w:rsidRPr="00E71FFA" w:rsidRDefault="00E71FFA" w:rsidP="00E71FFA">
                  <w:r w:rsidRPr="00E71FFA">
                    <w:rPr>
                      <w:b/>
                      <w:bCs/>
                    </w:rPr>
                    <w:t>Ground</w:t>
                  </w:r>
                </w:p>
              </w:tc>
            </w:tr>
            <w:tr w:rsidR="00E71FFA" w:rsidRPr="00E71FFA" w14:paraId="0CAFF12E" w14:textId="77777777"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8F4BF1" w14:textId="77777777" w:rsidR="00E71FFA" w:rsidRPr="00E71FFA" w:rsidRDefault="00E71FFA" w:rsidP="00E71FFA">
                  <w:r w:rsidRPr="00E71FFA">
                    <w:t>1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6126BA" w14:textId="77777777" w:rsidR="00E71FFA" w:rsidRPr="00E71FFA" w:rsidRDefault="00E71FFA" w:rsidP="00E71FFA">
                  <w:r w:rsidRPr="00E71FFA">
                    <w:t>General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17A708" w14:textId="77777777" w:rsidR="00E71FFA" w:rsidRPr="00E71FFA" w:rsidRDefault="00E71FFA" w:rsidP="00E71FFA">
                  <w:r w:rsidRPr="00E71FFA">
                    <w:t>General</w:t>
                  </w:r>
                </w:p>
              </w:tc>
              <w:tc>
                <w:tcPr>
                  <w:tcW w:w="6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6FA23E" w14:textId="77777777" w:rsidR="00E71FFA" w:rsidRPr="00E71FFA" w:rsidRDefault="00E71FFA" w:rsidP="00E71FFA">
                  <w:r w:rsidRPr="00E71FFA">
                    <w:t xml:space="preserve">The Assessment Order passed by the </w:t>
                  </w:r>
                  <w:proofErr w:type="spellStart"/>
                  <w:proofErr w:type="gramStart"/>
                  <w:r w:rsidRPr="00E71FFA">
                    <w:t>ld</w:t>
                  </w:r>
                  <w:proofErr w:type="spellEnd"/>
                  <w:r w:rsidRPr="00E71FFA">
                    <w:t xml:space="preserve"> .</w:t>
                  </w:r>
                  <w:proofErr w:type="gramEnd"/>
                  <w:r w:rsidRPr="00E71FFA">
                    <w:t xml:space="preserve"> AO is contrary to the law and facts of the case</w:t>
                  </w:r>
                </w:p>
              </w:tc>
            </w:tr>
            <w:tr w:rsidR="00E71FFA" w:rsidRPr="00E71FFA" w14:paraId="14FED493" w14:textId="77777777"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C41E38" w14:textId="77777777" w:rsidR="00E71FFA" w:rsidRPr="00E71FFA" w:rsidRDefault="00E71FFA" w:rsidP="00E71FFA">
                  <w:r w:rsidRPr="00E71FFA">
                    <w:t>2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C82024" w14:textId="77777777" w:rsidR="00E71FFA" w:rsidRPr="00E71FFA" w:rsidRDefault="00E71FFA" w:rsidP="00E71FFA">
                  <w:r w:rsidRPr="00E71FFA">
                    <w:t>142/144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85B7BB" w14:textId="77777777" w:rsidR="00E71FFA" w:rsidRPr="00E71FFA" w:rsidRDefault="00E71FFA" w:rsidP="00E71FFA">
                  <w:r w:rsidRPr="00E71FFA">
                    <w:t>No notice was ever served</w:t>
                  </w:r>
                </w:p>
              </w:tc>
              <w:tc>
                <w:tcPr>
                  <w:tcW w:w="6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E652AE" w14:textId="77777777" w:rsidR="00E71FFA" w:rsidRPr="00E71FFA" w:rsidRDefault="00E71FFA" w:rsidP="00E71FFA">
                  <w:r w:rsidRPr="00E71FFA">
                    <w:t xml:space="preserve">None of the Notice issued by the Ld. A O u/s 142/144 of the IT Act could ever be served to the </w:t>
                  </w:r>
                  <w:proofErr w:type="spellStart"/>
                  <w:r w:rsidRPr="00E71FFA">
                    <w:t>assessee</w:t>
                  </w:r>
                  <w:proofErr w:type="spellEnd"/>
                  <w:r w:rsidRPr="00E71FFA">
                    <w:t xml:space="preserve"> hence the </w:t>
                  </w:r>
                  <w:proofErr w:type="spellStart"/>
                  <w:r w:rsidRPr="00E71FFA">
                    <w:t>assessee</w:t>
                  </w:r>
                  <w:proofErr w:type="spellEnd"/>
                  <w:r w:rsidRPr="00E71FFA">
                    <w:t xml:space="preserve"> was deprived of any opportunity of hearing, therefore the order passed u/s 144 by the Ld. AO in the impugned case is against the principle of natural justice hence such unlawful assessment order is void ab-initio and needs to be quashed by your honor</w:t>
                  </w:r>
                </w:p>
              </w:tc>
            </w:tr>
            <w:tr w:rsidR="00E71FFA" w:rsidRPr="00E71FFA" w14:paraId="0775A86C" w14:textId="77777777"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2DCC85" w14:textId="77777777" w:rsidR="00E71FFA" w:rsidRPr="00E71FFA" w:rsidRDefault="00E71FFA" w:rsidP="00E71FFA">
                  <w:r w:rsidRPr="00E71FFA">
                    <w:t>3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0BB7DF" w14:textId="77777777" w:rsidR="00E71FFA" w:rsidRPr="00E71FFA" w:rsidRDefault="00E71FFA" w:rsidP="00E71FFA">
                  <w:r w:rsidRPr="00E71FFA">
                    <w:t>69A, 115BBE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99D0A3" w14:textId="77777777" w:rsidR="00E71FFA" w:rsidRPr="00E71FFA" w:rsidRDefault="00E71FFA" w:rsidP="00E71FFA">
                  <w:r w:rsidRPr="00E71FFA">
                    <w:t>Treating Cash Deposits of Rs. </w:t>
                  </w:r>
                  <w:r w:rsidRPr="00E71FFA">
                    <w:rPr>
                      <w:b/>
                      <w:bCs/>
                    </w:rPr>
                    <w:t>-----------------</w:t>
                  </w:r>
                  <w:r w:rsidRPr="00E71FFA">
                    <w:t> as Unexplained Money</w:t>
                  </w:r>
                </w:p>
              </w:tc>
              <w:tc>
                <w:tcPr>
                  <w:tcW w:w="6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E5C2FA" w14:textId="77777777" w:rsidR="00E71FFA" w:rsidRPr="00E71FFA" w:rsidRDefault="00E71FFA" w:rsidP="00E71FFA">
                  <w:r w:rsidRPr="00E71FFA">
                    <w:t xml:space="preserve">The Ld. AO has erred in the facts and law of the case in applying the harshest provisions of section 69A and of Section 115BBE against the </w:t>
                  </w:r>
                  <w:proofErr w:type="spellStart"/>
                  <w:r w:rsidRPr="00E71FFA">
                    <w:t>assessee</w:t>
                  </w:r>
                  <w:proofErr w:type="spellEnd"/>
                  <w:r w:rsidRPr="00E71FFA">
                    <w:t>, without any conclusive evidence with him, making the additions of entire cash deposits of Rs.</w:t>
                  </w:r>
                  <w:r w:rsidRPr="00E71FFA">
                    <w:rPr>
                      <w:b/>
                      <w:bCs/>
                    </w:rPr>
                    <w:t> ------------------------</w:t>
                  </w:r>
                  <w:r w:rsidRPr="00E71FFA">
                    <w:t> </w:t>
                  </w:r>
                  <w:proofErr w:type="gramStart"/>
                  <w:r w:rsidRPr="00E71FFA">
                    <w:t>during  the</w:t>
                  </w:r>
                  <w:proofErr w:type="gramEnd"/>
                  <w:r w:rsidRPr="00E71FFA">
                    <w:t xml:space="preserve"> financial year ----------- in the bank account as unexplained money u/s 69A is not tenable in being based on conjectures and surmises and hypothetical basis is biased, pro-revenue and is a result of mere conjectures and surmises which is not tenable in law. The whole cash deposited as above is from business </w:t>
                  </w:r>
                  <w:proofErr w:type="gramStart"/>
                  <w:r w:rsidRPr="00E71FFA">
                    <w:t>operations ,</w:t>
                  </w:r>
                  <w:proofErr w:type="gramEnd"/>
                  <w:r w:rsidRPr="00E71FFA">
                    <w:t xml:space="preserve"> which is duly recorded the regular books of accounts, hence invoking provisions of section 69A and 115BBE is unlawful and needs to be quashed by your honors.</w:t>
                  </w:r>
                </w:p>
              </w:tc>
            </w:tr>
            <w:tr w:rsidR="00E71FFA" w:rsidRPr="00E71FFA" w14:paraId="2F8D3F38" w14:textId="77777777"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CAE22B" w14:textId="77777777" w:rsidR="00E71FFA" w:rsidRPr="00E71FFA" w:rsidRDefault="00E71FFA" w:rsidP="00E71FFA">
                  <w:r w:rsidRPr="00E71FFA">
                    <w:t>4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536888" w14:textId="77777777" w:rsidR="00E71FFA" w:rsidRPr="00E71FFA" w:rsidRDefault="00E71FFA" w:rsidP="00E71FFA">
                  <w:r w:rsidRPr="00E71FFA">
                    <w:t>80P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DE0C3D" w14:textId="77777777" w:rsidR="00E71FFA" w:rsidRPr="00E71FFA" w:rsidRDefault="00E71FFA" w:rsidP="00E71FFA">
                  <w:r w:rsidRPr="00E71FFA">
                    <w:t>Disallowance of deduction of Rs. -------------------- claimed u/s 80P</w:t>
                  </w:r>
                </w:p>
              </w:tc>
              <w:tc>
                <w:tcPr>
                  <w:tcW w:w="6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884A0A" w14:textId="77777777" w:rsidR="00E71FFA" w:rsidRPr="00E71FFA" w:rsidRDefault="00E71FFA" w:rsidP="00E71FFA">
                  <w:r w:rsidRPr="00E71FFA">
                    <w:t xml:space="preserve">The Assessment Unit has erred in facts and law of the case and is highly unjustified in disallowing the deduction lawfully claimed by the </w:t>
                  </w:r>
                  <w:proofErr w:type="spellStart"/>
                  <w:r w:rsidRPr="00E71FFA">
                    <w:t>assessee</w:t>
                  </w:r>
                  <w:proofErr w:type="spellEnd"/>
                  <w:r w:rsidRPr="00E71FFA">
                    <w:t xml:space="preserve"> u/s 80P in the ITR filed in response to notice u/s 148 amounting ---------------.  The </w:t>
                  </w:r>
                  <w:proofErr w:type="spellStart"/>
                  <w:r w:rsidRPr="00E71FFA">
                    <w:t>assessee</w:t>
                  </w:r>
                  <w:proofErr w:type="spellEnd"/>
                  <w:r w:rsidRPr="00E71FFA">
                    <w:t xml:space="preserve"> being a cooperative society engaged </w:t>
                  </w:r>
                  <w:proofErr w:type="gramStart"/>
                  <w:r w:rsidRPr="00E71FFA">
                    <w:t>in  carrying</w:t>
                  </w:r>
                  <w:proofErr w:type="gramEnd"/>
                  <w:r w:rsidRPr="00E71FFA">
                    <w:t xml:space="preserve"> on the business of banking or providing credit facilities to its members in terms of section 80P(2)(a)(</w:t>
                  </w:r>
                  <w:proofErr w:type="spellStart"/>
                  <w:r w:rsidRPr="00E71FFA">
                    <w:t>i</w:t>
                  </w:r>
                  <w:proofErr w:type="spellEnd"/>
                  <w:r w:rsidRPr="00E71FFA">
                    <w:t>), is eligible for the deduction as claimed by them, hence the action of the AU is not tenable in law and needs to be quashed.</w:t>
                  </w:r>
                </w:p>
              </w:tc>
            </w:tr>
            <w:tr w:rsidR="00E71FFA" w:rsidRPr="00E71FFA" w14:paraId="63FFF16B" w14:textId="77777777">
              <w:tc>
                <w:tcPr>
                  <w:tcW w:w="8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BF1C29" w14:textId="77777777" w:rsidR="00E71FFA" w:rsidRPr="00E71FFA" w:rsidRDefault="00E71FFA" w:rsidP="00E71FFA">
                  <w:r w:rsidRPr="00E71FFA">
                    <w:t>5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A84269" w14:textId="77777777" w:rsidR="00E71FFA" w:rsidRPr="00E71FFA" w:rsidRDefault="00E71FFA" w:rsidP="00E71FFA">
                  <w:r w:rsidRPr="00E71FFA">
                    <w:t>General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089719" w14:textId="77777777" w:rsidR="00E71FFA" w:rsidRPr="00E71FFA" w:rsidRDefault="00E71FFA" w:rsidP="00E71FFA">
                  <w:r w:rsidRPr="00E71FFA">
                    <w:t>Prayer for making amendment to the GOA</w:t>
                  </w:r>
                </w:p>
              </w:tc>
              <w:tc>
                <w:tcPr>
                  <w:tcW w:w="6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999BF0" w14:textId="77777777" w:rsidR="00E71FFA" w:rsidRPr="00E71FFA" w:rsidRDefault="00E71FFA" w:rsidP="00E71FFA">
                  <w:r w:rsidRPr="00E71FFA">
                    <w:t>The appellant craves leave to add to or amend or vary the aforesaid grounds before disposal of the appeal.</w:t>
                  </w:r>
                </w:p>
              </w:tc>
            </w:tr>
          </w:tbl>
          <w:p w14:paraId="6CDD8EA7" w14:textId="77777777" w:rsidR="00E71FFA" w:rsidRPr="00E71FFA" w:rsidRDefault="00E71FFA" w:rsidP="00E71FFA"/>
        </w:tc>
      </w:tr>
    </w:tbl>
    <w:p w14:paraId="51108CBB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1227C"/>
    <w:multiLevelType w:val="multilevel"/>
    <w:tmpl w:val="57BC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603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FA"/>
    <w:rsid w:val="00031CAE"/>
    <w:rsid w:val="00447B58"/>
    <w:rsid w:val="005237F3"/>
    <w:rsid w:val="00C76E06"/>
    <w:rsid w:val="00E71FFA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4351"/>
  <w15:chartTrackingRefBased/>
  <w15:docId w15:val="{95E28D7A-ED94-43F9-B92F-430B60BF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F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F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F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F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2025-10-31T09:04:00Z</dcterms:created>
  <dcterms:modified xsi:type="dcterms:W3CDTF">2025-10-31T09:06:00Z</dcterms:modified>
</cp:coreProperties>
</file>