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A5C9" w14:textId="77777777" w:rsidR="00A87A82" w:rsidRPr="00A87A82" w:rsidRDefault="00A87A82" w:rsidP="00A87A82">
      <w:r w:rsidRPr="00A87A82">
        <w:rPr>
          <w:b/>
          <w:bCs/>
        </w:rPr>
        <w:t>To,</w:t>
      </w:r>
    </w:p>
    <w:p w14:paraId="7FC6D3D3" w14:textId="77777777" w:rsidR="00A87A82" w:rsidRPr="00A87A82" w:rsidRDefault="00A87A82" w:rsidP="00A87A82">
      <w:r w:rsidRPr="00A87A82">
        <w:t>The Principal Commissioner of Income Tax,</w:t>
      </w:r>
    </w:p>
    <w:p w14:paraId="09B9549F" w14:textId="77777777" w:rsidR="00A87A82" w:rsidRPr="00A87A82" w:rsidRDefault="00A87A82" w:rsidP="00A87A82">
      <w:r w:rsidRPr="00A87A82">
        <w:t>Income Tax Department,</w:t>
      </w:r>
    </w:p>
    <w:p w14:paraId="25EFFAC1" w14:textId="77777777" w:rsidR="00A87A82" w:rsidRPr="00A87A82" w:rsidRDefault="00A87A82" w:rsidP="00A87A82">
      <w:r w:rsidRPr="00A87A82">
        <w:t>Jamnagar, Gujarat.</w:t>
      </w:r>
    </w:p>
    <w:p w14:paraId="0273914A" w14:textId="77777777" w:rsidR="00A87A82" w:rsidRPr="00A87A82" w:rsidRDefault="00A87A82" w:rsidP="00A87A82">
      <w:r w:rsidRPr="00A87A82">
        <w:rPr>
          <w:b/>
          <w:bCs/>
        </w:rPr>
        <w:t>Subject:</w:t>
      </w:r>
      <w:r w:rsidRPr="00A87A82">
        <w:t> Reply to Show Cause Notice for Initiation of Revision Proceedings under Section 263 of the Income Tax Act, 1961 – Assessment Year 2020-21</w:t>
      </w:r>
    </w:p>
    <w:p w14:paraId="269968D3" w14:textId="77777777" w:rsidR="00A87A82" w:rsidRPr="00A87A82" w:rsidRDefault="00A87A82" w:rsidP="00A87A82">
      <w:r w:rsidRPr="00A87A82">
        <w:rPr>
          <w:b/>
          <w:bCs/>
        </w:rPr>
        <w:t>Respected Sir/Madam,</w:t>
      </w:r>
    </w:p>
    <w:p w14:paraId="66572F2F" w14:textId="0AFD1544" w:rsidR="00A87A82" w:rsidRPr="00A87A82" w:rsidRDefault="00A87A82" w:rsidP="00A87A82">
      <w:r w:rsidRPr="00A87A82">
        <w:t>With reference to the </w:t>
      </w:r>
      <w:r w:rsidRPr="00A87A82">
        <w:rPr>
          <w:b/>
          <w:bCs/>
        </w:rPr>
        <w:t>Show Cause Notice (SCN)</w:t>
      </w:r>
      <w:r w:rsidRPr="00A87A82">
        <w:t> issued under </w:t>
      </w:r>
      <w:r w:rsidRPr="00A87A82">
        <w:rPr>
          <w:b/>
          <w:bCs/>
        </w:rPr>
        <w:t>Section 263 of the Income Tax Act, 1961</w:t>
      </w:r>
      <w:r w:rsidRPr="00A87A82">
        <w:t> vide </w:t>
      </w:r>
      <w:r w:rsidRPr="00A87A82">
        <w:rPr>
          <w:b/>
          <w:bCs/>
        </w:rPr>
        <w:t>Ref. No. ZD220325002277W dated 05/01/2025</w:t>
      </w:r>
      <w:r w:rsidRPr="00A87A82">
        <w:t>, we respectfully submit our detailed reply and request that the revision proceedings under </w:t>
      </w:r>
      <w:r w:rsidRPr="00A87A82">
        <w:rPr>
          <w:b/>
          <w:bCs/>
        </w:rPr>
        <w:t>Section 263</w:t>
      </w:r>
      <w:r w:rsidRPr="00A87A82">
        <w:t> not be initiated in this case. We believe that the order passed by the Assessing Officer (AO) under </w:t>
      </w:r>
      <w:r w:rsidRPr="00A87A82">
        <w:rPr>
          <w:b/>
          <w:bCs/>
        </w:rPr>
        <w:t>Section 143(3) </w:t>
      </w:r>
      <w:proofErr w:type="spellStart"/>
      <w:r w:rsidRPr="00A87A82">
        <w:rPr>
          <w:b/>
          <w:bCs/>
        </w:rPr>
        <w:t>r.w.s</w:t>
      </w:r>
      <w:proofErr w:type="spellEnd"/>
      <w:r w:rsidRPr="00A87A82">
        <w:rPr>
          <w:b/>
          <w:bCs/>
        </w:rPr>
        <w:t>. 144B</w:t>
      </w:r>
      <w:r w:rsidRPr="00A87A82">
        <w:t> of the Income Tax Act for the Assessment Year 2020-21 was done after proper scrutiny and examination of all relevant aspects.</w:t>
      </w:r>
    </w:p>
    <w:p w14:paraId="39BA0853" w14:textId="77777777" w:rsidR="00A87A82" w:rsidRPr="00A87A82" w:rsidRDefault="00A87A82" w:rsidP="00A87A82">
      <w:r w:rsidRPr="00A87A82">
        <w:rPr>
          <w:b/>
          <w:bCs/>
        </w:rPr>
        <w:t>1. Scrutiny by the Assessing Officer:</w:t>
      </w:r>
    </w:p>
    <w:p w14:paraId="30DE215C" w14:textId="77777777" w:rsidR="00A87A82" w:rsidRPr="00A87A82" w:rsidRDefault="00A87A82" w:rsidP="00A87A82">
      <w:pPr>
        <w:numPr>
          <w:ilvl w:val="0"/>
          <w:numId w:val="1"/>
        </w:numPr>
      </w:pPr>
      <w:r w:rsidRPr="00A87A82">
        <w:t>The </w:t>
      </w:r>
      <w:r w:rsidRPr="00A87A82">
        <w:rPr>
          <w:b/>
          <w:bCs/>
        </w:rPr>
        <w:t>AO has completed the assessment for AY 2020-21</w:t>
      </w:r>
      <w:r w:rsidRPr="00A87A82">
        <w:t> on </w:t>
      </w:r>
      <w:r w:rsidRPr="00A87A82">
        <w:rPr>
          <w:b/>
          <w:bCs/>
        </w:rPr>
        <w:t>17/08/2022</w:t>
      </w:r>
      <w:r w:rsidRPr="00A87A82">
        <w:t> after a thorough scrutiny of the return of income and supporting documents.</w:t>
      </w:r>
    </w:p>
    <w:p w14:paraId="54B28BA8" w14:textId="77777777" w:rsidR="00A87A82" w:rsidRPr="00A87A82" w:rsidRDefault="00A87A82" w:rsidP="00A87A82">
      <w:pPr>
        <w:numPr>
          <w:ilvl w:val="0"/>
          <w:numId w:val="1"/>
        </w:numPr>
      </w:pPr>
      <w:r w:rsidRPr="00A87A82">
        <w:t>The case was selected for </w:t>
      </w:r>
      <w:r w:rsidRPr="00A87A82">
        <w:rPr>
          <w:b/>
          <w:bCs/>
        </w:rPr>
        <w:t>complete scrutiny under the CASS</w:t>
      </w:r>
      <w:r w:rsidRPr="00A87A82">
        <w:t> system, and the AO conducted a comprehensive examination of the financial records, including receipts, payments, TDS compliance, and other relevant aspects.</w:t>
      </w:r>
    </w:p>
    <w:p w14:paraId="60A47F93" w14:textId="5EF12850" w:rsidR="00A87A82" w:rsidRPr="00A87A82" w:rsidRDefault="00A87A82" w:rsidP="00A87A82">
      <w:pPr>
        <w:numPr>
          <w:ilvl w:val="0"/>
          <w:numId w:val="1"/>
        </w:numPr>
      </w:pPr>
      <w:r w:rsidRPr="00A87A82">
        <w:t>The </w:t>
      </w:r>
      <w:r w:rsidRPr="00A87A82">
        <w:rPr>
          <w:b/>
          <w:bCs/>
        </w:rPr>
        <w:t>AO has duly examined all the major points raised in the notice</w:t>
      </w:r>
      <w:r w:rsidRPr="00A87A82">
        <w:t> and has considered the relevant provisions of the Income Tax Act, including TDS provisions under </w:t>
      </w:r>
      <w:r w:rsidRPr="00A87A82">
        <w:rPr>
          <w:b/>
          <w:bCs/>
        </w:rPr>
        <w:t>Section 40</w:t>
      </w:r>
      <w:r w:rsidRPr="00A87A82">
        <w:t>(a)(</w:t>
      </w:r>
      <w:proofErr w:type="spellStart"/>
      <w:r w:rsidRPr="00A87A82">
        <w:t>ia</w:t>
      </w:r>
      <w:proofErr w:type="spellEnd"/>
      <w:r w:rsidRPr="00A87A82">
        <w:t>), mismatches in </w:t>
      </w:r>
      <w:r w:rsidRPr="00A87A82">
        <w:rPr>
          <w:b/>
          <w:bCs/>
        </w:rPr>
        <w:t>26AS</w:t>
      </w:r>
      <w:r w:rsidRPr="00A87A82">
        <w:t>, and the treatment of income from house property.</w:t>
      </w:r>
    </w:p>
    <w:p w14:paraId="21BF188D" w14:textId="77777777" w:rsidR="00A87A82" w:rsidRPr="00A87A82" w:rsidRDefault="00A87A82" w:rsidP="00A87A82">
      <w:r w:rsidRPr="00A87A82">
        <w:rPr>
          <w:b/>
          <w:bCs/>
        </w:rPr>
        <w:t>2. Addressing the Specific Issues Raised in the Notice:</w:t>
      </w:r>
      <w:r w:rsidRPr="00A87A82">
        <w:br/>
      </w:r>
      <w:r w:rsidRPr="00A87A82">
        <w:rPr>
          <w:b/>
          <w:bCs/>
        </w:rPr>
        <w:t>A. Omission in Implementing Provisions of TDS/TCS:</w:t>
      </w:r>
    </w:p>
    <w:p w14:paraId="3B1D8D26" w14:textId="77777777" w:rsidR="00A87A82" w:rsidRPr="00A87A82" w:rsidRDefault="00A87A82" w:rsidP="00A87A82">
      <w:pPr>
        <w:numPr>
          <w:ilvl w:val="0"/>
          <w:numId w:val="2"/>
        </w:numPr>
      </w:pPr>
      <w:r w:rsidRPr="00A87A82">
        <w:t>The AO has </w:t>
      </w:r>
      <w:r w:rsidRPr="00A87A82">
        <w:rPr>
          <w:b/>
          <w:bCs/>
        </w:rPr>
        <w:t>properly examined</w:t>
      </w:r>
      <w:r w:rsidRPr="00A87A82">
        <w:t> the TDS provisions in the return and verified the expenses claimed. The relevant TDS compliance was checked by the AO, and the same was found to be in order.</w:t>
      </w:r>
    </w:p>
    <w:p w14:paraId="77BCBFEC" w14:textId="043E0D3C" w:rsidR="00A87A82" w:rsidRPr="00A87A82" w:rsidRDefault="00A87A82" w:rsidP="00A87A82">
      <w:pPr>
        <w:numPr>
          <w:ilvl w:val="0"/>
          <w:numId w:val="2"/>
        </w:numPr>
      </w:pPr>
      <w:r w:rsidRPr="00A87A82">
        <w:rPr>
          <w:b/>
          <w:bCs/>
        </w:rPr>
        <w:t>TDS issues raised in the notice are related to past transactions</w:t>
      </w:r>
      <w:r w:rsidRPr="00A87A82">
        <w:t>, and the AO, during the assessment, had already verified the compliance with TDS regulations and had made appropriate disallowances as per </w:t>
      </w:r>
      <w:r w:rsidRPr="00A87A82">
        <w:rPr>
          <w:b/>
          <w:bCs/>
        </w:rPr>
        <w:t>Section 40</w:t>
      </w:r>
      <w:r w:rsidRPr="00A87A82">
        <w:t>(a)(</w:t>
      </w:r>
      <w:proofErr w:type="spellStart"/>
      <w:r w:rsidRPr="00A87A82">
        <w:t>ia</w:t>
      </w:r>
      <w:proofErr w:type="spellEnd"/>
      <w:r w:rsidRPr="00A87A82">
        <w:t>) where applicable. No further action was warranted.</w:t>
      </w:r>
    </w:p>
    <w:p w14:paraId="1F1BA7C3" w14:textId="25524855" w:rsidR="00A87A82" w:rsidRPr="00A87A82" w:rsidRDefault="00A87A82" w:rsidP="00A87A82">
      <w:r w:rsidRPr="00A87A82">
        <w:rPr>
          <w:b/>
          <w:bCs/>
        </w:rPr>
        <w:lastRenderedPageBreak/>
        <w:t>B. Mismatch / Difference Between Actual Receipts and Gross Receipts in 26AS:</w:t>
      </w:r>
    </w:p>
    <w:p w14:paraId="02FFB464" w14:textId="3C3B8231" w:rsidR="00A87A82" w:rsidRPr="00A87A82" w:rsidRDefault="00A87A82" w:rsidP="00A87A82">
      <w:pPr>
        <w:numPr>
          <w:ilvl w:val="0"/>
          <w:numId w:val="3"/>
        </w:numPr>
      </w:pPr>
      <w:r w:rsidRPr="00A87A82">
        <w:t>The </w:t>
      </w:r>
      <w:r w:rsidRPr="00A87A82">
        <w:rPr>
          <w:b/>
          <w:bCs/>
        </w:rPr>
        <w:t>mismatch between receipts</w:t>
      </w:r>
      <w:r w:rsidRPr="00A87A82">
        <w:t> and the amounts shown in </w:t>
      </w:r>
      <w:r w:rsidRPr="00A87A82">
        <w:rPr>
          <w:b/>
          <w:bCs/>
        </w:rPr>
        <w:t>26AS</w:t>
      </w:r>
      <w:r w:rsidRPr="00A87A82">
        <w:t> was thoroughly examined by the AO during the assessment proceedings.</w:t>
      </w:r>
    </w:p>
    <w:p w14:paraId="26B81DEC" w14:textId="77777777" w:rsidR="00A87A82" w:rsidRPr="00A87A82" w:rsidRDefault="00A87A82" w:rsidP="00A87A82">
      <w:pPr>
        <w:numPr>
          <w:ilvl w:val="0"/>
          <w:numId w:val="3"/>
        </w:numPr>
      </w:pPr>
      <w:r w:rsidRPr="00A87A82">
        <w:t>The discrepancies were related to timing differences in receipts, and the applicant has </w:t>
      </w:r>
      <w:r w:rsidRPr="00A87A82">
        <w:rPr>
          <w:b/>
          <w:bCs/>
        </w:rPr>
        <w:t>provided necessary explanations</w:t>
      </w:r>
      <w:r w:rsidRPr="00A87A82">
        <w:t> for the same, which the AO accepted after due scrutiny.</w:t>
      </w:r>
    </w:p>
    <w:p w14:paraId="0060A60E" w14:textId="77777777" w:rsidR="00A87A82" w:rsidRPr="00A87A82" w:rsidRDefault="00A87A82" w:rsidP="00A87A82">
      <w:pPr>
        <w:numPr>
          <w:ilvl w:val="0"/>
          <w:numId w:val="3"/>
        </w:numPr>
      </w:pPr>
      <w:r w:rsidRPr="00A87A82">
        <w:t>Further, the AO has </w:t>
      </w:r>
      <w:r w:rsidRPr="00A87A82">
        <w:rPr>
          <w:b/>
          <w:bCs/>
        </w:rPr>
        <w:t>verified the figures as per the bank statements and books of accounts</w:t>
      </w:r>
      <w:r w:rsidRPr="00A87A82">
        <w:t> to ensure that the discrepancy was due to timing differences and not an intentional misstatement.</w:t>
      </w:r>
    </w:p>
    <w:p w14:paraId="16CF1DDD" w14:textId="77777777" w:rsidR="00A87A82" w:rsidRPr="00A87A82" w:rsidRDefault="00A87A82" w:rsidP="00A87A82">
      <w:r w:rsidRPr="00A87A82">
        <w:rPr>
          <w:b/>
          <w:bCs/>
        </w:rPr>
        <w:t>C. Variation in IGST Figures:</w:t>
      </w:r>
    </w:p>
    <w:p w14:paraId="22B9524C" w14:textId="77777777" w:rsidR="00A87A82" w:rsidRPr="00A87A82" w:rsidRDefault="00A87A82" w:rsidP="00A87A82">
      <w:pPr>
        <w:numPr>
          <w:ilvl w:val="0"/>
          <w:numId w:val="4"/>
        </w:numPr>
      </w:pPr>
      <w:r w:rsidRPr="00A87A82">
        <w:t>The issue regarding the </w:t>
      </w:r>
      <w:r w:rsidRPr="00A87A82">
        <w:rPr>
          <w:b/>
          <w:bCs/>
        </w:rPr>
        <w:t>IGST claim</w:t>
      </w:r>
      <w:r w:rsidRPr="00A87A82">
        <w:t> was addressed during the assessment proceedings. The AO has examined the </w:t>
      </w:r>
      <w:r w:rsidRPr="00A87A82">
        <w:rPr>
          <w:b/>
          <w:bCs/>
        </w:rPr>
        <w:t>IGST payments made</w:t>
      </w:r>
      <w:r w:rsidRPr="00A87A82">
        <w:t> and allowed the same after verifying the correct payment and matching it with the return filed.</w:t>
      </w:r>
    </w:p>
    <w:p w14:paraId="3A96F97E" w14:textId="77777777" w:rsidR="00A87A82" w:rsidRPr="00A87A82" w:rsidRDefault="00A87A82" w:rsidP="00A87A82">
      <w:pPr>
        <w:numPr>
          <w:ilvl w:val="0"/>
          <w:numId w:val="4"/>
        </w:numPr>
      </w:pPr>
      <w:r w:rsidRPr="00A87A82">
        <w:t>There was a minor difference in the IGST receipts and payments, which was explained during the assessment process and rectified in the books of accounts.</w:t>
      </w:r>
    </w:p>
    <w:p w14:paraId="4CEE388E" w14:textId="77777777" w:rsidR="00A87A82" w:rsidRPr="00A87A82" w:rsidRDefault="00A87A82" w:rsidP="00A87A82">
      <w:r w:rsidRPr="00A87A82">
        <w:rPr>
          <w:b/>
          <w:bCs/>
        </w:rPr>
        <w:t>D. Deemed Rental Income from Properties:</w:t>
      </w:r>
    </w:p>
    <w:p w14:paraId="69FC7AFF" w14:textId="77777777" w:rsidR="00A87A82" w:rsidRPr="00A87A82" w:rsidRDefault="00A87A82" w:rsidP="00A87A82">
      <w:pPr>
        <w:numPr>
          <w:ilvl w:val="0"/>
          <w:numId w:val="5"/>
        </w:numPr>
      </w:pPr>
      <w:r w:rsidRPr="00A87A82">
        <w:t>The issue of </w:t>
      </w:r>
      <w:r w:rsidRPr="00A87A82">
        <w:rPr>
          <w:b/>
          <w:bCs/>
        </w:rPr>
        <w:t>deemed rental income</w:t>
      </w:r>
      <w:r w:rsidRPr="00A87A82">
        <w:t> from properties was duly scrutinized by the AO, and it was found that the properties were not being used for rental income purposes.</w:t>
      </w:r>
    </w:p>
    <w:p w14:paraId="1607798E" w14:textId="77777777" w:rsidR="00A87A82" w:rsidRPr="00A87A82" w:rsidRDefault="00A87A82" w:rsidP="00A87A82">
      <w:pPr>
        <w:numPr>
          <w:ilvl w:val="0"/>
          <w:numId w:val="5"/>
        </w:numPr>
      </w:pPr>
      <w:r w:rsidRPr="00A87A82">
        <w:t>As per the provisions of </w:t>
      </w:r>
      <w:r w:rsidRPr="00A87A82">
        <w:rPr>
          <w:b/>
          <w:bCs/>
        </w:rPr>
        <w:t>Income from House Property</w:t>
      </w:r>
      <w:r w:rsidRPr="00A87A82">
        <w:t>, no deemed income was applicable for the properties that were not being used for business or rental purposes. Therefore, the AO </w:t>
      </w:r>
      <w:r w:rsidRPr="00A87A82">
        <w:rPr>
          <w:b/>
          <w:bCs/>
        </w:rPr>
        <w:t>did not make any disallowance under this head</w:t>
      </w:r>
      <w:r w:rsidRPr="00A87A82">
        <w:t>, which is in line with the provisions of the Act.</w:t>
      </w:r>
    </w:p>
    <w:p w14:paraId="37CF0C29" w14:textId="77777777" w:rsidR="00A87A82" w:rsidRPr="00A87A82" w:rsidRDefault="00A87A82" w:rsidP="00A87A82">
      <w:r w:rsidRPr="00A87A82">
        <w:rPr>
          <w:b/>
          <w:bCs/>
        </w:rPr>
        <w:t>3. No Failure on the Part of the Assessing Officer:</w:t>
      </w:r>
    </w:p>
    <w:p w14:paraId="1D1256FD" w14:textId="61D21A03" w:rsidR="00A87A82" w:rsidRPr="00A87A82" w:rsidRDefault="00A87A82" w:rsidP="00A87A82">
      <w:pPr>
        <w:numPr>
          <w:ilvl w:val="0"/>
          <w:numId w:val="6"/>
        </w:numPr>
      </w:pPr>
      <w:r w:rsidRPr="00A87A82">
        <w:t xml:space="preserve">The AO’s order was passed after due examination of all documents and materials provided by the </w:t>
      </w:r>
      <w:proofErr w:type="spellStart"/>
      <w:r w:rsidRPr="00A87A82">
        <w:t>assessee</w:t>
      </w:r>
      <w:proofErr w:type="spellEnd"/>
      <w:r w:rsidRPr="00A87A82">
        <w:t>, and no omission or failure of the AO has been found that would warrant revision under </w:t>
      </w:r>
      <w:r w:rsidRPr="00A87A82">
        <w:rPr>
          <w:b/>
          <w:bCs/>
        </w:rPr>
        <w:t>Section 263</w:t>
      </w:r>
      <w:r w:rsidRPr="00A87A82">
        <w:t>.</w:t>
      </w:r>
    </w:p>
    <w:p w14:paraId="639FF66F" w14:textId="3FD61D36" w:rsidR="00A87A82" w:rsidRPr="00A87A82" w:rsidRDefault="00A87A82" w:rsidP="00A87A82">
      <w:pPr>
        <w:numPr>
          <w:ilvl w:val="0"/>
          <w:numId w:val="6"/>
        </w:numPr>
      </w:pPr>
      <w:r w:rsidRPr="00A87A82">
        <w:t>The discrepancies pointed out in the notice are either due to </w:t>
      </w:r>
      <w:r w:rsidRPr="00A87A82">
        <w:rPr>
          <w:b/>
          <w:bCs/>
        </w:rPr>
        <w:t>timing differences</w:t>
      </w:r>
      <w:r w:rsidRPr="00A87A82">
        <w:t> (in the case of receipts or TDS) or are based on minor clerical errors which have been clarified during the assessment process. These do not justify revision of the order under </w:t>
      </w:r>
      <w:r w:rsidRPr="00A87A82">
        <w:rPr>
          <w:b/>
          <w:bCs/>
        </w:rPr>
        <w:t>Section 263</w:t>
      </w:r>
      <w:r w:rsidRPr="00A87A82">
        <w:t>.</w:t>
      </w:r>
    </w:p>
    <w:p w14:paraId="0ABDE7F4" w14:textId="77777777" w:rsidR="00A87A82" w:rsidRPr="00A87A82" w:rsidRDefault="00A87A82" w:rsidP="00A87A82">
      <w:r w:rsidRPr="00A87A82">
        <w:rPr>
          <w:b/>
          <w:bCs/>
        </w:rPr>
        <w:t>4. Reliance on Judicial Precedents:</w:t>
      </w:r>
    </w:p>
    <w:p w14:paraId="32783723" w14:textId="4D69441D" w:rsidR="00A87A82" w:rsidRPr="00A87A82" w:rsidRDefault="00A87A82" w:rsidP="00A87A82">
      <w:pPr>
        <w:numPr>
          <w:ilvl w:val="0"/>
          <w:numId w:val="7"/>
        </w:numPr>
      </w:pPr>
      <w:r w:rsidRPr="00A87A82">
        <w:t xml:space="preserve">Arvind </w:t>
      </w:r>
      <w:proofErr w:type="spellStart"/>
      <w:r w:rsidRPr="00A87A82">
        <w:t>Jewellers</w:t>
      </w:r>
      <w:proofErr w:type="spellEnd"/>
      <w:r w:rsidRPr="00A87A82">
        <w:t xml:space="preserve"> vs. Vs CIT </w:t>
      </w:r>
      <w:r w:rsidRPr="00A87A82">
        <w:rPr>
          <w:b/>
          <w:bCs/>
        </w:rPr>
        <w:t>[2002] (GUJ)</w:t>
      </w:r>
      <w:r w:rsidRPr="00A87A82">
        <w:t xml:space="preserve">: The Hon`ble Gujrat High Court held that Coming to the facts of the present case, it is the finding of fact given by the Tribunal that the </w:t>
      </w:r>
      <w:proofErr w:type="spellStart"/>
      <w:r w:rsidRPr="00A87A82">
        <w:t>assessee</w:t>
      </w:r>
      <w:proofErr w:type="spellEnd"/>
      <w:r w:rsidRPr="00A87A82">
        <w:t xml:space="preserve"> has produced relevant material and offered explanation in pursuance of the notices issued under </w:t>
      </w:r>
      <w:r w:rsidRPr="00A87A82">
        <w:rPr>
          <w:b/>
          <w:bCs/>
        </w:rPr>
        <w:t>section 142</w:t>
      </w:r>
      <w:r w:rsidRPr="00A87A82">
        <w:t>(1) as well as </w:t>
      </w:r>
      <w:r w:rsidRPr="00A87A82">
        <w:rPr>
          <w:b/>
          <w:bCs/>
        </w:rPr>
        <w:t>section 143</w:t>
      </w:r>
      <w:r w:rsidRPr="00A87A82">
        <w:t>(2) and after considering those materials and explanation, the ITO has come to a definite conclusion. The Commissioner did not agree with the conclusion reached by the ITO. </w:t>
      </w:r>
      <w:r w:rsidRPr="00A87A82">
        <w:rPr>
          <w:b/>
          <w:bCs/>
        </w:rPr>
        <w:t>Section 263</w:t>
      </w:r>
      <w:r w:rsidRPr="00A87A82">
        <w:t> does not empower him to take action on these facts to arrive at the conclusion that the order passed by the ITO is erroneous and prejudicial to the interest of the revenue. Since the material was there on record and the said material was considered by the ITO and a particular view was taken, the mere fact that different view can be taken, should not be the basis for an action under </w:t>
      </w:r>
      <w:r w:rsidRPr="00A87A82">
        <w:rPr>
          <w:b/>
          <w:bCs/>
        </w:rPr>
        <w:t>Section 263</w:t>
      </w:r>
      <w:r w:rsidRPr="00A87A82">
        <w:t> and it cannot be held to be justified.</w:t>
      </w:r>
    </w:p>
    <w:p w14:paraId="48E7F5BB" w14:textId="77777777" w:rsidR="00A87A82" w:rsidRPr="00A87A82" w:rsidRDefault="00A87A82" w:rsidP="00A87A82">
      <w:r w:rsidRPr="00A87A82">
        <w:rPr>
          <w:b/>
          <w:bCs/>
        </w:rPr>
        <w:t>5. Conclusion:</w:t>
      </w:r>
    </w:p>
    <w:p w14:paraId="05CAF3BC" w14:textId="5A67FDC2" w:rsidR="00A87A82" w:rsidRPr="00A87A82" w:rsidRDefault="00A87A82" w:rsidP="00A87A82">
      <w:pPr>
        <w:numPr>
          <w:ilvl w:val="0"/>
          <w:numId w:val="8"/>
        </w:numPr>
      </w:pPr>
      <w:r w:rsidRPr="00A87A82">
        <w:t>In view of the above clarifications, we respectfully submit that </w:t>
      </w:r>
      <w:r w:rsidRPr="00A87A82">
        <w:rPr>
          <w:b/>
          <w:bCs/>
        </w:rPr>
        <w:t>no revision under Section 263 is warranted</w:t>
      </w:r>
      <w:r w:rsidRPr="00A87A82">
        <w:t> in this case as the Assessing Officer has passed the order after proper scrutiny of all the points mentioned in the notice. The issues raised are either resolved through proper documentation or are based on misunderstandings that were addressed during the assessment proceedings.</w:t>
      </w:r>
    </w:p>
    <w:p w14:paraId="55F51CE2" w14:textId="4441A031" w:rsidR="00A87A82" w:rsidRPr="00A87A82" w:rsidRDefault="00A87A82" w:rsidP="00A87A82">
      <w:pPr>
        <w:numPr>
          <w:ilvl w:val="0"/>
          <w:numId w:val="8"/>
        </w:numPr>
      </w:pPr>
      <w:r w:rsidRPr="00A87A82">
        <w:t>We request you to kindly drop the revision proceedings and uphold the order passed under </w:t>
      </w:r>
      <w:r w:rsidRPr="00A87A82">
        <w:rPr>
          <w:b/>
          <w:bCs/>
        </w:rPr>
        <w:t>Section 143(3) </w:t>
      </w:r>
      <w:proofErr w:type="spellStart"/>
      <w:r w:rsidRPr="00A87A82">
        <w:rPr>
          <w:b/>
          <w:bCs/>
        </w:rPr>
        <w:t>r.w.s</w:t>
      </w:r>
      <w:proofErr w:type="spellEnd"/>
      <w:r w:rsidRPr="00A87A82">
        <w:rPr>
          <w:b/>
          <w:bCs/>
        </w:rPr>
        <w:t xml:space="preserve"> 144B</w:t>
      </w:r>
      <w:r w:rsidRPr="00A87A82">
        <w:t> of the Income Tax Act.</w:t>
      </w:r>
    </w:p>
    <w:p w14:paraId="3761DCAC" w14:textId="77777777" w:rsidR="00A87A82" w:rsidRPr="00A87A82" w:rsidRDefault="00A87A82" w:rsidP="00A87A82">
      <w:r w:rsidRPr="00A87A82">
        <w:t>We are available for a personal hearing if required and can provide any further clarifications or supporting documents as needed.</w:t>
      </w:r>
    </w:p>
    <w:p w14:paraId="405B92C4" w14:textId="77777777" w:rsidR="00A87A82" w:rsidRPr="00A87A82" w:rsidRDefault="00A87A82" w:rsidP="00A87A82">
      <w:r w:rsidRPr="00A87A82">
        <w:rPr>
          <w:b/>
          <w:bCs/>
        </w:rPr>
        <w:t>Yours sincerely,</w:t>
      </w:r>
    </w:p>
    <w:p w14:paraId="141A52B5" w14:textId="77777777" w:rsidR="00A87A82" w:rsidRPr="00A87A82" w:rsidRDefault="00A87A82" w:rsidP="00A87A82">
      <w:r w:rsidRPr="00A87A82">
        <w:t>[Your Name]</w:t>
      </w:r>
    </w:p>
    <w:p w14:paraId="1EBAF8B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4238"/>
    <w:multiLevelType w:val="multilevel"/>
    <w:tmpl w:val="347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05AAC"/>
    <w:multiLevelType w:val="multilevel"/>
    <w:tmpl w:val="98E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545D98"/>
    <w:multiLevelType w:val="multilevel"/>
    <w:tmpl w:val="B13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6D5635"/>
    <w:multiLevelType w:val="multilevel"/>
    <w:tmpl w:val="10AC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972348"/>
    <w:multiLevelType w:val="multilevel"/>
    <w:tmpl w:val="67DE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3B4C29"/>
    <w:multiLevelType w:val="multilevel"/>
    <w:tmpl w:val="20C4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000974"/>
    <w:multiLevelType w:val="multilevel"/>
    <w:tmpl w:val="ABDC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D67F7F"/>
    <w:multiLevelType w:val="multilevel"/>
    <w:tmpl w:val="ED62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4842894">
    <w:abstractNumId w:val="4"/>
  </w:num>
  <w:num w:numId="2" w16cid:durableId="643853441">
    <w:abstractNumId w:val="7"/>
  </w:num>
  <w:num w:numId="3" w16cid:durableId="1725443073">
    <w:abstractNumId w:val="3"/>
  </w:num>
  <w:num w:numId="4" w16cid:durableId="337928131">
    <w:abstractNumId w:val="5"/>
  </w:num>
  <w:num w:numId="5" w16cid:durableId="1545098697">
    <w:abstractNumId w:val="1"/>
  </w:num>
  <w:num w:numId="6" w16cid:durableId="792599760">
    <w:abstractNumId w:val="2"/>
  </w:num>
  <w:num w:numId="7" w16cid:durableId="1538273575">
    <w:abstractNumId w:val="0"/>
  </w:num>
  <w:num w:numId="8" w16cid:durableId="1493251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82"/>
    <w:rsid w:val="00031CAE"/>
    <w:rsid w:val="002F2641"/>
    <w:rsid w:val="00447B58"/>
    <w:rsid w:val="005237F3"/>
    <w:rsid w:val="00A87A82"/>
    <w:rsid w:val="00CE4EF7"/>
    <w:rsid w:val="00E949B8"/>
    <w:rsid w:val="00EE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1105"/>
  <w15:chartTrackingRefBased/>
  <w15:docId w15:val="{70464BB5-400B-4299-B952-735AFE58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A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A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A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A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A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A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A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A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A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82"/>
    <w:rPr>
      <w:rFonts w:eastAsiaTheme="majorEastAsia" w:cstheme="majorBidi"/>
      <w:color w:val="272727" w:themeColor="text1" w:themeTint="D8"/>
    </w:rPr>
  </w:style>
  <w:style w:type="paragraph" w:styleId="Title">
    <w:name w:val="Title"/>
    <w:basedOn w:val="Normal"/>
    <w:next w:val="Normal"/>
    <w:link w:val="TitleChar"/>
    <w:uiPriority w:val="10"/>
    <w:qFormat/>
    <w:rsid w:val="00A87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82"/>
    <w:pPr>
      <w:spacing w:before="160"/>
      <w:jc w:val="center"/>
    </w:pPr>
    <w:rPr>
      <w:i/>
      <w:iCs/>
      <w:color w:val="404040" w:themeColor="text1" w:themeTint="BF"/>
    </w:rPr>
  </w:style>
  <w:style w:type="character" w:customStyle="1" w:styleId="QuoteChar">
    <w:name w:val="Quote Char"/>
    <w:basedOn w:val="DefaultParagraphFont"/>
    <w:link w:val="Quote"/>
    <w:uiPriority w:val="29"/>
    <w:rsid w:val="00A87A82"/>
    <w:rPr>
      <w:i/>
      <w:iCs/>
      <w:color w:val="404040" w:themeColor="text1" w:themeTint="BF"/>
    </w:rPr>
  </w:style>
  <w:style w:type="paragraph" w:styleId="ListParagraph">
    <w:name w:val="List Paragraph"/>
    <w:basedOn w:val="Normal"/>
    <w:uiPriority w:val="34"/>
    <w:qFormat/>
    <w:rsid w:val="00A87A82"/>
    <w:pPr>
      <w:ind w:left="720"/>
      <w:contextualSpacing/>
    </w:pPr>
  </w:style>
  <w:style w:type="character" w:styleId="IntenseEmphasis">
    <w:name w:val="Intense Emphasis"/>
    <w:basedOn w:val="DefaultParagraphFont"/>
    <w:uiPriority w:val="21"/>
    <w:qFormat/>
    <w:rsid w:val="00A87A82"/>
    <w:rPr>
      <w:i/>
      <w:iCs/>
      <w:color w:val="2F5496" w:themeColor="accent1" w:themeShade="BF"/>
    </w:rPr>
  </w:style>
  <w:style w:type="paragraph" w:styleId="IntenseQuote">
    <w:name w:val="Intense Quote"/>
    <w:basedOn w:val="Normal"/>
    <w:next w:val="Normal"/>
    <w:link w:val="IntenseQuoteChar"/>
    <w:uiPriority w:val="30"/>
    <w:qFormat/>
    <w:rsid w:val="00A87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A82"/>
    <w:rPr>
      <w:i/>
      <w:iCs/>
      <w:color w:val="2F5496" w:themeColor="accent1" w:themeShade="BF"/>
    </w:rPr>
  </w:style>
  <w:style w:type="character" w:styleId="IntenseReference">
    <w:name w:val="Intense Reference"/>
    <w:basedOn w:val="DefaultParagraphFont"/>
    <w:uiPriority w:val="32"/>
    <w:qFormat/>
    <w:rsid w:val="00A87A82"/>
    <w:rPr>
      <w:b/>
      <w:bCs/>
      <w:smallCaps/>
      <w:color w:val="2F5496" w:themeColor="accent1" w:themeShade="BF"/>
      <w:spacing w:val="5"/>
    </w:rPr>
  </w:style>
  <w:style w:type="character" w:styleId="Hyperlink">
    <w:name w:val="Hyperlink"/>
    <w:basedOn w:val="DefaultParagraphFont"/>
    <w:uiPriority w:val="99"/>
    <w:unhideWhenUsed/>
    <w:rsid w:val="00A87A82"/>
    <w:rPr>
      <w:color w:val="0563C1" w:themeColor="hyperlink"/>
      <w:u w:val="single"/>
    </w:rPr>
  </w:style>
  <w:style w:type="character" w:styleId="UnresolvedMention">
    <w:name w:val="Unresolved Mention"/>
    <w:basedOn w:val="DefaultParagraphFont"/>
    <w:uiPriority w:val="99"/>
    <w:semiHidden/>
    <w:unhideWhenUsed/>
    <w:rsid w:val="00A87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2025-10-31T10:42:00Z</dcterms:created>
  <dcterms:modified xsi:type="dcterms:W3CDTF">2025-11-15T10:10:00Z</dcterms:modified>
</cp:coreProperties>
</file>