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DF27" w14:textId="7E15F1D7" w:rsidR="0059275D" w:rsidRPr="0059275D" w:rsidRDefault="0059275D" w:rsidP="0059275D">
      <w:pPr>
        <w:spacing w:after="150" w:line="408" w:lineRule="atLeast"/>
        <w:rPr>
          <w:rFonts w:ascii="Default Font" w:eastAsia="Times New Roman" w:hAnsi="Default Font" w:cs="Times New Roman"/>
          <w:color w:val="000000" w:themeColor="text1"/>
          <w:kern w:val="0"/>
          <w:sz w:val="36"/>
          <w:szCs w:val="36"/>
          <w14:ligatures w14:val="none"/>
        </w:rPr>
      </w:pPr>
      <w:r w:rsidRPr="0059275D">
        <w:rPr>
          <w:rFonts w:ascii="Default Font" w:eastAsia="Times New Roman" w:hAnsi="Default Font" w:cs="Times New Roman"/>
          <w:color w:val="000000" w:themeColor="text1"/>
          <w:kern w:val="0"/>
          <w:sz w:val="36"/>
          <w:szCs w:val="36"/>
          <w14:ligatures w14:val="none"/>
        </w:rPr>
        <w:t>Any trust or institution set up wholly for charitable or religious purposes or both, subject to the fulfilment of the conditions set out under </w:t>
      </w:r>
      <w:r w:rsidRPr="0059275D">
        <w:rPr>
          <w:rFonts w:ascii="Default Font" w:eastAsia="Times New Roman" w:hAnsi="Default Font" w:cs="Times New Roman"/>
          <w:b/>
          <w:bCs/>
          <w:color w:val="000000" w:themeColor="text1"/>
          <w:kern w:val="0"/>
          <w:sz w:val="36"/>
          <w:szCs w:val="36"/>
          <w:u w:val="single"/>
          <w14:ligatures w14:val="none"/>
        </w:rPr>
        <w:t>section 12A</w:t>
      </w:r>
      <w:r w:rsidRPr="0059275D">
        <w:rPr>
          <w:rFonts w:ascii="Default Font" w:eastAsia="Times New Roman" w:hAnsi="Default Font" w:cs="Times New Roman"/>
          <w:color w:val="000000" w:themeColor="text1"/>
          <w:kern w:val="0"/>
          <w:sz w:val="36"/>
          <w:szCs w:val="36"/>
          <w14:ligatures w14:val="none"/>
        </w:rPr>
        <w:t> and </w:t>
      </w:r>
      <w:r w:rsidRPr="0059275D">
        <w:rPr>
          <w:rFonts w:ascii="Default Font" w:eastAsia="Times New Roman" w:hAnsi="Default Font" w:cs="Times New Roman"/>
          <w:b/>
          <w:bCs/>
          <w:color w:val="000000" w:themeColor="text1"/>
          <w:kern w:val="0"/>
          <w:sz w:val="36"/>
          <w:szCs w:val="36"/>
          <w:u w:val="single"/>
          <w14:ligatures w14:val="none"/>
        </w:rPr>
        <w:t>section 13</w:t>
      </w:r>
      <w:r w:rsidRPr="0059275D">
        <w:rPr>
          <w:rFonts w:ascii="Default Font" w:eastAsia="Times New Roman" w:hAnsi="Default Font" w:cs="Times New Roman"/>
          <w:color w:val="000000" w:themeColor="text1"/>
          <w:kern w:val="0"/>
          <w:sz w:val="36"/>
          <w:szCs w:val="36"/>
          <w14:ligatures w14:val="none"/>
        </w:rPr>
        <w:t> of the Income-tax Act, 1961 (‘the Act’) can take registration under the Act. </w:t>
      </w:r>
    </w:p>
    <w:p w14:paraId="0E36C040" w14:textId="77777777" w:rsidR="0059275D" w:rsidRPr="0059275D" w:rsidRDefault="0059275D" w:rsidP="0059275D">
      <w:pPr>
        <w:spacing w:after="150" w:line="408" w:lineRule="atLeast"/>
        <w:rPr>
          <w:rFonts w:ascii="Default Font" w:eastAsia="Times New Roman" w:hAnsi="Default Font" w:cs="Times New Roman"/>
          <w:color w:val="000000" w:themeColor="text1"/>
          <w:kern w:val="0"/>
          <w:sz w:val="36"/>
          <w:szCs w:val="36"/>
          <w14:ligatures w14:val="none"/>
        </w:rPr>
      </w:pPr>
      <w:r w:rsidRPr="0059275D">
        <w:rPr>
          <w:rFonts w:ascii="Default Font" w:eastAsia="Times New Roman" w:hAnsi="Default Font" w:cs="Times New Roman"/>
          <w:color w:val="000000" w:themeColor="text1"/>
          <w:kern w:val="0"/>
          <w:sz w:val="36"/>
          <w:szCs w:val="36"/>
          <w14:ligatures w14:val="none"/>
        </w:rPr>
        <w:t xml:space="preserve">If the Principal Commissioner/Commissioner of Income </w:t>
      </w:r>
      <w:proofErr w:type="spellStart"/>
      <w:r w:rsidRPr="0059275D">
        <w:rPr>
          <w:rFonts w:ascii="Default Font" w:eastAsia="Times New Roman" w:hAnsi="Default Font" w:cs="Times New Roman"/>
          <w:color w:val="000000" w:themeColor="text1"/>
          <w:kern w:val="0"/>
          <w:sz w:val="36"/>
          <w:szCs w:val="36"/>
          <w14:ligatures w14:val="none"/>
        </w:rPr>
        <w:t>Taxis</w:t>
      </w:r>
      <w:proofErr w:type="spellEnd"/>
      <w:r w:rsidRPr="0059275D">
        <w:rPr>
          <w:rFonts w:ascii="Default Font" w:eastAsia="Times New Roman" w:hAnsi="Default Font" w:cs="Times New Roman"/>
          <w:color w:val="000000" w:themeColor="text1"/>
          <w:kern w:val="0"/>
          <w:sz w:val="36"/>
          <w:szCs w:val="36"/>
          <w14:ligatures w14:val="none"/>
        </w:rPr>
        <w:t xml:space="preserve"> not satisfied about the objects of the entity or the genuineness of its activities and compliance of requirements of any other law, he can pass an order rejecting the application as well as cancel the registration of the entity after giving an opportunity of being heard.</w:t>
      </w:r>
    </w:p>
    <w:p w14:paraId="657A0C13" w14:textId="12B4DD57" w:rsidR="0059275D" w:rsidRPr="0059275D" w:rsidRDefault="0059275D" w:rsidP="0059275D">
      <w:pPr>
        <w:spacing w:after="150" w:line="408" w:lineRule="atLeast"/>
        <w:rPr>
          <w:rFonts w:ascii="Default Font" w:eastAsia="Times New Roman" w:hAnsi="Default Font" w:cs="Times New Roman"/>
          <w:color w:val="000000" w:themeColor="text1"/>
          <w:kern w:val="0"/>
          <w:sz w:val="36"/>
          <w:szCs w:val="36"/>
          <w14:ligatures w14:val="none"/>
        </w:rPr>
      </w:pPr>
      <w:r w:rsidRPr="0059275D">
        <w:rPr>
          <w:rFonts w:ascii="Default Font" w:eastAsia="Times New Roman" w:hAnsi="Default Font" w:cs="Times New Roman"/>
          <w:color w:val="000000" w:themeColor="text1"/>
          <w:kern w:val="0"/>
          <w:sz w:val="36"/>
          <w:szCs w:val="36"/>
          <w14:ligatures w14:val="none"/>
        </w:rPr>
        <w:t>Similarly, in order to claim deduction under </w:t>
      </w:r>
      <w:r w:rsidRPr="0059275D">
        <w:rPr>
          <w:rFonts w:ascii="Default Font" w:eastAsia="Times New Roman" w:hAnsi="Default Font" w:cs="Times New Roman"/>
          <w:b/>
          <w:bCs/>
          <w:color w:val="000000" w:themeColor="text1"/>
          <w:kern w:val="0"/>
          <w:sz w:val="36"/>
          <w:szCs w:val="36"/>
          <w:u w:val="single"/>
          <w14:ligatures w14:val="none"/>
        </w:rPr>
        <w:t>section 80G</w:t>
      </w:r>
      <w:r w:rsidRPr="0059275D">
        <w:rPr>
          <w:rFonts w:ascii="Default Font" w:eastAsia="Times New Roman" w:hAnsi="Default Font" w:cs="Times New Roman"/>
          <w:color w:val="000000" w:themeColor="text1"/>
          <w:kern w:val="0"/>
          <w:sz w:val="36"/>
          <w:szCs w:val="36"/>
          <w14:ligatures w14:val="none"/>
        </w:rPr>
        <w:t> of the Act by the donor, a charitable trust or institution is required to obtain registration under </w:t>
      </w:r>
      <w:r w:rsidRPr="0059275D">
        <w:rPr>
          <w:rFonts w:ascii="Default Font" w:eastAsia="Times New Roman" w:hAnsi="Default Font" w:cs="Times New Roman"/>
          <w:b/>
          <w:bCs/>
          <w:color w:val="000000" w:themeColor="text1"/>
          <w:kern w:val="0"/>
          <w:sz w:val="36"/>
          <w:szCs w:val="36"/>
          <w:u w:val="single"/>
          <w14:ligatures w14:val="none"/>
        </w:rPr>
        <w:t>section 80G</w:t>
      </w:r>
      <w:r w:rsidRPr="0059275D">
        <w:rPr>
          <w:rFonts w:ascii="Default Font" w:eastAsia="Times New Roman" w:hAnsi="Default Font" w:cs="Times New Roman"/>
          <w:color w:val="000000" w:themeColor="text1"/>
          <w:kern w:val="0"/>
          <w:sz w:val="36"/>
          <w:szCs w:val="36"/>
          <w14:ligatures w14:val="none"/>
        </w:rPr>
        <w:t>. Application for a certificate under </w:t>
      </w:r>
      <w:r w:rsidRPr="0059275D">
        <w:rPr>
          <w:rFonts w:ascii="Default Font" w:eastAsia="Times New Roman" w:hAnsi="Default Font" w:cs="Times New Roman"/>
          <w:b/>
          <w:bCs/>
          <w:color w:val="000000" w:themeColor="text1"/>
          <w:kern w:val="0"/>
          <w:sz w:val="36"/>
          <w:szCs w:val="36"/>
          <w:u w:val="single"/>
          <w14:ligatures w14:val="none"/>
        </w:rPr>
        <w:t>section 80G</w:t>
      </w:r>
      <w:r w:rsidRPr="0059275D">
        <w:rPr>
          <w:rFonts w:ascii="Default Font" w:eastAsia="Times New Roman" w:hAnsi="Default Font" w:cs="Times New Roman"/>
          <w:color w:val="000000" w:themeColor="text1"/>
          <w:kern w:val="0"/>
          <w:sz w:val="36"/>
          <w:szCs w:val="36"/>
          <w14:ligatures w14:val="none"/>
        </w:rPr>
        <w:t> can be done only by charitable trusts or institutions and not by religious trusts or institutions established in India for a charitable purpose. Here again, if the Principal Commissioner/Commissioner of Income Tax is not satisfied about the objects of the entity or the genuineness of its activities and fulfilment of all conditions mentioned in clauses </w:t>
      </w:r>
      <w:r w:rsidRPr="0059275D">
        <w:rPr>
          <w:rFonts w:ascii="Default Font" w:eastAsia="Times New Roman" w:hAnsi="Default Font" w:cs="Times New Roman"/>
          <w:i/>
          <w:iCs/>
          <w:color w:val="000000" w:themeColor="text1"/>
          <w:kern w:val="0"/>
          <w:sz w:val="36"/>
          <w:szCs w:val="36"/>
          <w14:ligatures w14:val="none"/>
        </w:rPr>
        <w:t>(</w:t>
      </w:r>
      <w:proofErr w:type="spellStart"/>
      <w:r w:rsidRPr="0059275D">
        <w:rPr>
          <w:rFonts w:ascii="Default Font" w:eastAsia="Times New Roman" w:hAnsi="Default Font" w:cs="Times New Roman"/>
          <w:i/>
          <w:iCs/>
          <w:color w:val="000000" w:themeColor="text1"/>
          <w:kern w:val="0"/>
          <w:sz w:val="36"/>
          <w:szCs w:val="36"/>
          <w14:ligatures w14:val="none"/>
        </w:rPr>
        <w:t>i</w:t>
      </w:r>
      <w:proofErr w:type="spellEnd"/>
      <w:r w:rsidRPr="0059275D">
        <w:rPr>
          <w:rFonts w:ascii="Default Font" w:eastAsia="Times New Roman" w:hAnsi="Default Font" w:cs="Times New Roman"/>
          <w:i/>
          <w:iCs/>
          <w:color w:val="000000" w:themeColor="text1"/>
          <w:kern w:val="0"/>
          <w:sz w:val="36"/>
          <w:szCs w:val="36"/>
          <w14:ligatures w14:val="none"/>
        </w:rPr>
        <w:t>)</w:t>
      </w:r>
      <w:r w:rsidRPr="0059275D">
        <w:rPr>
          <w:rFonts w:ascii="Default Font" w:eastAsia="Times New Roman" w:hAnsi="Default Font" w:cs="Times New Roman"/>
          <w:color w:val="000000" w:themeColor="text1"/>
          <w:kern w:val="0"/>
          <w:sz w:val="36"/>
          <w:szCs w:val="36"/>
          <w14:ligatures w14:val="none"/>
        </w:rPr>
        <w:t> to </w:t>
      </w:r>
      <w:r w:rsidRPr="0059275D">
        <w:rPr>
          <w:rFonts w:ascii="Default Font" w:eastAsia="Times New Roman" w:hAnsi="Default Font" w:cs="Times New Roman"/>
          <w:i/>
          <w:iCs/>
          <w:color w:val="000000" w:themeColor="text1"/>
          <w:kern w:val="0"/>
          <w:sz w:val="36"/>
          <w:szCs w:val="36"/>
          <w14:ligatures w14:val="none"/>
        </w:rPr>
        <w:t>(v)</w:t>
      </w:r>
      <w:r w:rsidRPr="0059275D">
        <w:rPr>
          <w:rFonts w:ascii="Default Font" w:eastAsia="Times New Roman" w:hAnsi="Default Font" w:cs="Times New Roman"/>
          <w:color w:val="000000" w:themeColor="text1"/>
          <w:kern w:val="0"/>
          <w:sz w:val="36"/>
          <w:szCs w:val="36"/>
          <w14:ligatures w14:val="none"/>
        </w:rPr>
        <w:t> of </w:t>
      </w:r>
      <w:r w:rsidRPr="0059275D">
        <w:rPr>
          <w:rFonts w:ascii="Default Font" w:eastAsia="Times New Roman" w:hAnsi="Default Font" w:cs="Times New Roman"/>
          <w:b/>
          <w:bCs/>
          <w:color w:val="000000" w:themeColor="text1"/>
          <w:kern w:val="0"/>
          <w:sz w:val="36"/>
          <w:szCs w:val="36"/>
          <w:u w:val="single"/>
          <w14:ligatures w14:val="none"/>
        </w:rPr>
        <w:t>section 80G</w:t>
      </w:r>
      <w:r w:rsidRPr="0059275D">
        <w:rPr>
          <w:rFonts w:ascii="Default Font" w:eastAsia="Times New Roman" w:hAnsi="Default Font" w:cs="Times New Roman"/>
          <w:color w:val="000000" w:themeColor="text1"/>
          <w:kern w:val="0"/>
          <w:sz w:val="36"/>
          <w:szCs w:val="36"/>
          <w14:ligatures w14:val="none"/>
        </w:rPr>
        <w:t> of sub-section (5), he can pass an order rejecting the application as well as cancel the registration of the entity after giving an opportunity of being heard.</w:t>
      </w:r>
    </w:p>
    <w:p w14:paraId="162E10EB" w14:textId="69282C25" w:rsidR="0059275D" w:rsidRPr="0059275D" w:rsidRDefault="0059275D" w:rsidP="0059275D">
      <w:pPr>
        <w:spacing w:after="150" w:line="408" w:lineRule="atLeast"/>
        <w:rPr>
          <w:rFonts w:ascii="Default Font" w:eastAsia="Times New Roman" w:hAnsi="Default Font" w:cs="Times New Roman"/>
          <w:color w:val="000000" w:themeColor="text1"/>
          <w:kern w:val="0"/>
          <w:sz w:val="36"/>
          <w:szCs w:val="36"/>
          <w14:ligatures w14:val="none"/>
        </w:rPr>
      </w:pPr>
      <w:r w:rsidRPr="0059275D">
        <w:rPr>
          <w:rFonts w:ascii="Default Font" w:eastAsia="Times New Roman" w:hAnsi="Default Font" w:cs="Times New Roman"/>
          <w:color w:val="000000" w:themeColor="text1"/>
          <w:kern w:val="0"/>
          <w:sz w:val="36"/>
          <w:szCs w:val="36"/>
          <w14:ligatures w14:val="none"/>
        </w:rPr>
        <w:t>In your case, registration has been denied under </w:t>
      </w:r>
      <w:r w:rsidRPr="0059275D">
        <w:rPr>
          <w:rFonts w:ascii="Default Font" w:eastAsia="Times New Roman" w:hAnsi="Default Font" w:cs="Times New Roman"/>
          <w:b/>
          <w:bCs/>
          <w:color w:val="000000" w:themeColor="text1"/>
          <w:kern w:val="0"/>
          <w:sz w:val="36"/>
          <w:szCs w:val="36"/>
          <w:u w:val="single"/>
          <w14:ligatures w14:val="none"/>
        </w:rPr>
        <w:t>sections 12A</w:t>
      </w:r>
      <w:r w:rsidRPr="0059275D">
        <w:rPr>
          <w:rFonts w:ascii="Default Font" w:eastAsia="Times New Roman" w:hAnsi="Default Font" w:cs="Times New Roman"/>
          <w:color w:val="000000" w:themeColor="text1"/>
          <w:kern w:val="0"/>
          <w:sz w:val="36"/>
          <w:szCs w:val="36"/>
          <w14:ligatures w14:val="none"/>
        </w:rPr>
        <w:t> and </w:t>
      </w:r>
      <w:r w:rsidRPr="0059275D">
        <w:rPr>
          <w:rFonts w:ascii="Default Font" w:eastAsia="Times New Roman" w:hAnsi="Default Font" w:cs="Times New Roman"/>
          <w:b/>
          <w:bCs/>
          <w:color w:val="000000" w:themeColor="text1"/>
          <w:kern w:val="0"/>
          <w:sz w:val="36"/>
          <w:szCs w:val="36"/>
          <w:u w:val="single"/>
          <w14:ligatures w14:val="none"/>
        </w:rPr>
        <w:t>80G</w:t>
      </w:r>
      <w:r w:rsidRPr="0059275D">
        <w:rPr>
          <w:rFonts w:ascii="Default Font" w:eastAsia="Times New Roman" w:hAnsi="Default Font" w:cs="Times New Roman"/>
          <w:color w:val="000000" w:themeColor="text1"/>
          <w:kern w:val="0"/>
          <w:sz w:val="36"/>
          <w:szCs w:val="36"/>
          <w14:ligatures w14:val="none"/>
        </w:rPr>
        <w:t> of the Act and appeals are to be filed before ITAT.</w:t>
      </w:r>
    </w:p>
    <w:p w14:paraId="004BBCF3" w14:textId="77777777" w:rsidR="0059275D" w:rsidRPr="0059275D" w:rsidRDefault="0059275D" w:rsidP="0059275D">
      <w:pPr>
        <w:spacing w:after="150" w:line="408" w:lineRule="atLeast"/>
        <w:rPr>
          <w:rFonts w:ascii="Default Font" w:eastAsia="Times New Roman" w:hAnsi="Default Font" w:cs="Times New Roman"/>
          <w:color w:val="000000" w:themeColor="text1"/>
          <w:kern w:val="0"/>
          <w:sz w:val="36"/>
          <w:szCs w:val="36"/>
          <w14:ligatures w14:val="none"/>
        </w:rPr>
      </w:pPr>
      <w:r w:rsidRPr="0059275D">
        <w:rPr>
          <w:rFonts w:ascii="Default Font" w:eastAsia="Times New Roman" w:hAnsi="Default Font" w:cs="Times New Roman"/>
          <w:color w:val="000000" w:themeColor="text1"/>
          <w:kern w:val="0"/>
          <w:sz w:val="36"/>
          <w:szCs w:val="36"/>
          <w14:ligatures w14:val="none"/>
        </w:rPr>
        <w:lastRenderedPageBreak/>
        <w:t>Section 253 of the Act provides for filing of appeal to the ITAT. This section gives clarity as to who can file appeal to ITAT; orders appealable before ITAT; time limit within which appeal can be filed; fees prescribed for filing appeals; filing of cross-objections and time limit; delay in filing appeals; stay applications; etc.</w:t>
      </w:r>
    </w:p>
    <w:p w14:paraId="749C64E1" w14:textId="074AD605" w:rsidR="0059275D" w:rsidRPr="0059275D" w:rsidRDefault="0059275D" w:rsidP="0059275D">
      <w:pPr>
        <w:spacing w:after="150" w:line="408" w:lineRule="atLeast"/>
        <w:rPr>
          <w:rFonts w:ascii="Default Font" w:eastAsia="Times New Roman" w:hAnsi="Default Font" w:cs="Times New Roman"/>
          <w:color w:val="000000" w:themeColor="text1"/>
          <w:kern w:val="0"/>
          <w:sz w:val="36"/>
          <w:szCs w:val="36"/>
          <w14:ligatures w14:val="none"/>
        </w:rPr>
      </w:pPr>
      <w:r w:rsidRPr="0059275D">
        <w:rPr>
          <w:rFonts w:ascii="Default Font" w:eastAsia="Times New Roman" w:hAnsi="Default Font" w:cs="Times New Roman"/>
          <w:color w:val="000000" w:themeColor="text1"/>
          <w:kern w:val="0"/>
          <w:sz w:val="36"/>
          <w:szCs w:val="36"/>
          <w14:ligatures w14:val="none"/>
        </w:rPr>
        <w:t>The appeals to the ITAT shall be made in </w:t>
      </w:r>
      <w:r w:rsidRPr="0059275D">
        <w:rPr>
          <w:rFonts w:ascii="Default Font" w:eastAsia="Times New Roman" w:hAnsi="Default Font" w:cs="Times New Roman"/>
          <w:b/>
          <w:bCs/>
          <w:color w:val="000000" w:themeColor="text1"/>
          <w:kern w:val="0"/>
          <w:sz w:val="36"/>
          <w:szCs w:val="36"/>
          <w:u w:val="single"/>
          <w14:ligatures w14:val="none"/>
        </w:rPr>
        <w:t>Form No. 36</w:t>
      </w:r>
      <w:r w:rsidRPr="0059275D">
        <w:rPr>
          <w:rFonts w:ascii="Default Font" w:eastAsia="Times New Roman" w:hAnsi="Default Font" w:cs="Times New Roman"/>
          <w:color w:val="000000" w:themeColor="text1"/>
          <w:kern w:val="0"/>
          <w:sz w:val="36"/>
          <w:szCs w:val="36"/>
          <w14:ligatures w14:val="none"/>
        </w:rPr>
        <w:t>. Notes below </w:t>
      </w:r>
      <w:r w:rsidRPr="0059275D">
        <w:rPr>
          <w:rFonts w:ascii="Default Font" w:eastAsia="Times New Roman" w:hAnsi="Default Font" w:cs="Times New Roman"/>
          <w:b/>
          <w:bCs/>
          <w:color w:val="000000" w:themeColor="text1"/>
          <w:kern w:val="0"/>
          <w:sz w:val="36"/>
          <w:szCs w:val="36"/>
          <w:u w:val="single"/>
          <w14:ligatures w14:val="none"/>
        </w:rPr>
        <w:t>Form No. 36</w:t>
      </w:r>
      <w:r w:rsidRPr="0059275D">
        <w:rPr>
          <w:rFonts w:ascii="Default Font" w:eastAsia="Times New Roman" w:hAnsi="Default Font" w:cs="Times New Roman"/>
          <w:color w:val="000000" w:themeColor="text1"/>
          <w:kern w:val="0"/>
          <w:sz w:val="36"/>
          <w:szCs w:val="36"/>
          <w14:ligatures w14:val="none"/>
        </w:rPr>
        <w:t xml:space="preserve"> are self-explanatory and are required to be followed while preparing the appeals to the Tribunal. There are no specific formats or straight jacket formulas for preparation of grounds of appeal. </w:t>
      </w:r>
      <w:proofErr w:type="gramStart"/>
      <w:r w:rsidRPr="0059275D">
        <w:rPr>
          <w:rFonts w:ascii="Default Font" w:eastAsia="Times New Roman" w:hAnsi="Default Font" w:cs="Times New Roman"/>
          <w:color w:val="000000" w:themeColor="text1"/>
          <w:kern w:val="0"/>
          <w:sz w:val="36"/>
          <w:szCs w:val="36"/>
          <w14:ligatures w14:val="none"/>
        </w:rPr>
        <w:t>Basically</w:t>
      </w:r>
      <w:proofErr w:type="gramEnd"/>
      <w:r w:rsidRPr="0059275D">
        <w:rPr>
          <w:rFonts w:ascii="Default Font" w:eastAsia="Times New Roman" w:hAnsi="Default Font" w:cs="Times New Roman"/>
          <w:color w:val="000000" w:themeColor="text1"/>
          <w:kern w:val="0"/>
          <w:sz w:val="36"/>
          <w:szCs w:val="36"/>
          <w14:ligatures w14:val="none"/>
        </w:rPr>
        <w:t xml:space="preserve"> the grounds of appeal serve the purpose of intimating and making known to the appellate authority the issues on which the appellant is aggrieved and the background giving rise to the same. For alternative pleas, if necessary, use the phrase ‘Without prejudice’. The grounds of appeal should be precise and not vague or argumentative. The last ground should be “The appellant craves leave to add, alter, amend, modify or delete any of the above grounds of appeal’. Unlike in </w:t>
      </w:r>
      <w:r w:rsidRPr="0059275D">
        <w:rPr>
          <w:rFonts w:ascii="Default Font" w:eastAsia="Times New Roman" w:hAnsi="Default Font" w:cs="Times New Roman"/>
          <w:b/>
          <w:bCs/>
          <w:color w:val="000000" w:themeColor="text1"/>
          <w:kern w:val="0"/>
          <w:sz w:val="36"/>
          <w:szCs w:val="36"/>
          <w:u w:val="single"/>
          <w14:ligatures w14:val="none"/>
        </w:rPr>
        <w:t>Form No. 35</w:t>
      </w:r>
      <w:r w:rsidRPr="0059275D">
        <w:rPr>
          <w:rFonts w:ascii="Default Font" w:eastAsia="Times New Roman" w:hAnsi="Default Font" w:cs="Times New Roman"/>
          <w:color w:val="000000" w:themeColor="text1"/>
          <w:kern w:val="0"/>
          <w:sz w:val="36"/>
          <w:szCs w:val="36"/>
          <w14:ligatures w14:val="none"/>
        </w:rPr>
        <w:t> which is for filing appeal to the Commissioner of Income Tax (Appeals), </w:t>
      </w:r>
      <w:r w:rsidRPr="0059275D">
        <w:rPr>
          <w:rFonts w:ascii="Default Font" w:eastAsia="Times New Roman" w:hAnsi="Default Font" w:cs="Times New Roman"/>
          <w:b/>
          <w:bCs/>
          <w:color w:val="000000" w:themeColor="text1"/>
          <w:kern w:val="0"/>
          <w:sz w:val="36"/>
          <w:szCs w:val="36"/>
          <w:u w:val="single"/>
          <w14:ligatures w14:val="none"/>
        </w:rPr>
        <w:t>Form No. 36</w:t>
      </w:r>
      <w:r w:rsidRPr="0059275D">
        <w:rPr>
          <w:rFonts w:ascii="Default Font" w:eastAsia="Times New Roman" w:hAnsi="Default Font" w:cs="Times New Roman"/>
          <w:color w:val="000000" w:themeColor="text1"/>
          <w:kern w:val="0"/>
          <w:sz w:val="36"/>
          <w:szCs w:val="36"/>
          <w14:ligatures w14:val="none"/>
        </w:rPr>
        <w:t> does not contain column for ‘Statement of Facts’.</w:t>
      </w:r>
    </w:p>
    <w:p w14:paraId="2ED70B32" w14:textId="77777777" w:rsidR="0059275D" w:rsidRPr="0059275D" w:rsidRDefault="0059275D" w:rsidP="0059275D">
      <w:pPr>
        <w:spacing w:after="150" w:line="408" w:lineRule="atLeast"/>
        <w:rPr>
          <w:rFonts w:ascii="Default Font" w:eastAsia="Times New Roman" w:hAnsi="Default Font" w:cs="Times New Roman"/>
          <w:color w:val="000000" w:themeColor="text1"/>
          <w:kern w:val="0"/>
          <w:sz w:val="36"/>
          <w:szCs w:val="36"/>
          <w14:ligatures w14:val="none"/>
        </w:rPr>
      </w:pPr>
      <w:r w:rsidRPr="0059275D">
        <w:rPr>
          <w:rFonts w:ascii="Default Font" w:eastAsia="Times New Roman" w:hAnsi="Default Font" w:cs="Times New Roman"/>
          <w:color w:val="000000" w:themeColor="text1"/>
          <w:kern w:val="0"/>
          <w:sz w:val="36"/>
          <w:szCs w:val="36"/>
          <w14:ligatures w14:val="none"/>
        </w:rPr>
        <w:t xml:space="preserve">Tax litigation practice before Appellate Tribunal is a very </w:t>
      </w:r>
      <w:proofErr w:type="spellStart"/>
      <w:r w:rsidRPr="0059275D">
        <w:rPr>
          <w:rFonts w:ascii="Default Font" w:eastAsia="Times New Roman" w:hAnsi="Default Font" w:cs="Times New Roman"/>
          <w:color w:val="000000" w:themeColor="text1"/>
          <w:kern w:val="0"/>
          <w:sz w:val="36"/>
          <w:szCs w:val="36"/>
          <w14:ligatures w14:val="none"/>
        </w:rPr>
        <w:t>specialised</w:t>
      </w:r>
      <w:proofErr w:type="spellEnd"/>
      <w:r w:rsidRPr="0059275D">
        <w:rPr>
          <w:rFonts w:ascii="Default Font" w:eastAsia="Times New Roman" w:hAnsi="Default Font" w:cs="Times New Roman"/>
          <w:color w:val="000000" w:themeColor="text1"/>
          <w:kern w:val="0"/>
          <w:sz w:val="36"/>
          <w:szCs w:val="36"/>
          <w14:ligatures w14:val="none"/>
        </w:rPr>
        <w:t xml:space="preserve"> field and challenging. Continuous study is required to remain updated on case laws. In order to file appeal and appear before Appellate Tribunal, one should be up to date on law, judgments of Apex Court, High Courts, Tribunals and also on facts.</w:t>
      </w:r>
    </w:p>
    <w:p w14:paraId="0A3B1E7D" w14:textId="0041EB24" w:rsidR="005237F3" w:rsidRPr="0059275D" w:rsidRDefault="0059275D" w:rsidP="0059275D">
      <w:pPr>
        <w:rPr>
          <w:color w:val="000000" w:themeColor="text1"/>
        </w:rPr>
      </w:pPr>
      <w:r w:rsidRPr="0059275D">
        <w:rPr>
          <w:rFonts w:ascii="Default Font" w:eastAsia="Times New Roman" w:hAnsi="Default Font" w:cs="Times New Roman"/>
          <w:color w:val="000000" w:themeColor="text1"/>
          <w:kern w:val="0"/>
          <w:sz w:val="36"/>
          <w:szCs w:val="36"/>
          <w14:ligatures w14:val="none"/>
        </w:rPr>
        <w:t>There cannot be any draft format of filing appeal before ITAT in cases where registration under </w:t>
      </w:r>
      <w:r w:rsidRPr="0059275D">
        <w:rPr>
          <w:rFonts w:ascii="Default Font" w:eastAsia="Times New Roman" w:hAnsi="Default Font" w:cs="Times New Roman"/>
          <w:b/>
          <w:bCs/>
          <w:color w:val="000000" w:themeColor="text1"/>
          <w:kern w:val="0"/>
          <w:sz w:val="36"/>
          <w:szCs w:val="36"/>
          <w:u w:val="single"/>
          <w14:ligatures w14:val="none"/>
        </w:rPr>
        <w:t>sections 12A</w:t>
      </w:r>
      <w:r w:rsidRPr="0059275D">
        <w:rPr>
          <w:rFonts w:ascii="Default Font" w:eastAsia="Times New Roman" w:hAnsi="Default Font" w:cs="Times New Roman"/>
          <w:color w:val="000000" w:themeColor="text1"/>
          <w:kern w:val="0"/>
          <w:sz w:val="36"/>
          <w:szCs w:val="36"/>
          <w14:ligatures w14:val="none"/>
        </w:rPr>
        <w:t> and </w:t>
      </w:r>
      <w:r w:rsidRPr="0059275D">
        <w:rPr>
          <w:rFonts w:ascii="Default Font" w:eastAsia="Times New Roman" w:hAnsi="Default Font" w:cs="Times New Roman"/>
          <w:b/>
          <w:bCs/>
          <w:color w:val="000000" w:themeColor="text1"/>
          <w:kern w:val="0"/>
          <w:sz w:val="36"/>
          <w:szCs w:val="36"/>
          <w:u w:val="single"/>
          <w14:ligatures w14:val="none"/>
        </w:rPr>
        <w:t>80G</w:t>
      </w:r>
      <w:r w:rsidRPr="0059275D">
        <w:rPr>
          <w:rFonts w:ascii="Default Font" w:eastAsia="Times New Roman" w:hAnsi="Default Font" w:cs="Times New Roman"/>
          <w:color w:val="000000" w:themeColor="text1"/>
          <w:kern w:val="0"/>
          <w:sz w:val="36"/>
          <w:szCs w:val="36"/>
          <w14:ligatures w14:val="none"/>
        </w:rPr>
        <w:t> has been denied by the Commissioner of Income Tax (Exemptions). The orders to be appealed against need to be studied very carefully and the appeal will be prepared based on the specific facts of the case and the applicable law.</w:t>
      </w:r>
    </w:p>
    <w:sectPr w:rsidR="005237F3" w:rsidRPr="00592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5D"/>
    <w:rsid w:val="00031CAE"/>
    <w:rsid w:val="002A27CF"/>
    <w:rsid w:val="00447B58"/>
    <w:rsid w:val="005237F3"/>
    <w:rsid w:val="0059275D"/>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9BE6"/>
  <w15:chartTrackingRefBased/>
  <w15:docId w15:val="{CE6C9BD8-35D0-44DC-B540-E2F8C0D9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7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7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7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7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7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7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7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7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75D"/>
    <w:rPr>
      <w:rFonts w:eastAsiaTheme="majorEastAsia" w:cstheme="majorBidi"/>
      <w:color w:val="272727" w:themeColor="text1" w:themeTint="D8"/>
    </w:rPr>
  </w:style>
  <w:style w:type="paragraph" w:styleId="Title">
    <w:name w:val="Title"/>
    <w:basedOn w:val="Normal"/>
    <w:next w:val="Normal"/>
    <w:link w:val="TitleChar"/>
    <w:uiPriority w:val="10"/>
    <w:qFormat/>
    <w:rsid w:val="00592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75D"/>
    <w:pPr>
      <w:spacing w:before="160"/>
      <w:jc w:val="center"/>
    </w:pPr>
    <w:rPr>
      <w:i/>
      <w:iCs/>
      <w:color w:val="404040" w:themeColor="text1" w:themeTint="BF"/>
    </w:rPr>
  </w:style>
  <w:style w:type="character" w:customStyle="1" w:styleId="QuoteChar">
    <w:name w:val="Quote Char"/>
    <w:basedOn w:val="DefaultParagraphFont"/>
    <w:link w:val="Quote"/>
    <w:uiPriority w:val="29"/>
    <w:rsid w:val="0059275D"/>
    <w:rPr>
      <w:i/>
      <w:iCs/>
      <w:color w:val="404040" w:themeColor="text1" w:themeTint="BF"/>
    </w:rPr>
  </w:style>
  <w:style w:type="paragraph" w:styleId="ListParagraph">
    <w:name w:val="List Paragraph"/>
    <w:basedOn w:val="Normal"/>
    <w:uiPriority w:val="34"/>
    <w:qFormat/>
    <w:rsid w:val="0059275D"/>
    <w:pPr>
      <w:ind w:left="720"/>
      <w:contextualSpacing/>
    </w:pPr>
  </w:style>
  <w:style w:type="character" w:styleId="IntenseEmphasis">
    <w:name w:val="Intense Emphasis"/>
    <w:basedOn w:val="DefaultParagraphFont"/>
    <w:uiPriority w:val="21"/>
    <w:qFormat/>
    <w:rsid w:val="0059275D"/>
    <w:rPr>
      <w:i/>
      <w:iCs/>
      <w:color w:val="2F5496" w:themeColor="accent1" w:themeShade="BF"/>
    </w:rPr>
  </w:style>
  <w:style w:type="paragraph" w:styleId="IntenseQuote">
    <w:name w:val="Intense Quote"/>
    <w:basedOn w:val="Normal"/>
    <w:next w:val="Normal"/>
    <w:link w:val="IntenseQuoteChar"/>
    <w:uiPriority w:val="30"/>
    <w:qFormat/>
    <w:rsid w:val="00592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75D"/>
    <w:rPr>
      <w:i/>
      <w:iCs/>
      <w:color w:val="2F5496" w:themeColor="accent1" w:themeShade="BF"/>
    </w:rPr>
  </w:style>
  <w:style w:type="character" w:styleId="IntenseReference">
    <w:name w:val="Intense Reference"/>
    <w:basedOn w:val="DefaultParagraphFont"/>
    <w:uiPriority w:val="32"/>
    <w:qFormat/>
    <w:rsid w:val="0059275D"/>
    <w:rPr>
      <w:b/>
      <w:bCs/>
      <w:smallCaps/>
      <w:color w:val="2F5496" w:themeColor="accent1" w:themeShade="BF"/>
      <w:spacing w:val="5"/>
    </w:rPr>
  </w:style>
  <w:style w:type="paragraph" w:styleId="NormalWeb">
    <w:name w:val="Normal (Web)"/>
    <w:basedOn w:val="Normal"/>
    <w:uiPriority w:val="99"/>
    <w:semiHidden/>
    <w:unhideWhenUsed/>
    <w:rsid w:val="005927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9275D"/>
    <w:rPr>
      <w:color w:val="0000FF"/>
      <w:u w:val="single"/>
    </w:rPr>
  </w:style>
  <w:style w:type="character" w:styleId="Emphasis">
    <w:name w:val="Emphasis"/>
    <w:basedOn w:val="DefaultParagraphFont"/>
    <w:uiPriority w:val="20"/>
    <w:qFormat/>
    <w:rsid w:val="005927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2025-11-01T10:27:00Z</dcterms:created>
  <dcterms:modified xsi:type="dcterms:W3CDTF">2025-11-01T10:32:00Z</dcterms:modified>
</cp:coreProperties>
</file>